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B913" w14:textId="77CF19C5" w:rsidR="002649C6" w:rsidRDefault="00041AD3" w:rsidP="00747A19">
      <w:pPr>
        <w:spacing w:line="360" w:lineRule="auto"/>
        <w:rPr>
          <w:rFonts w:ascii="Times New Roman" w:hAnsi="Times New Roman" w:cs="Times New Roman"/>
          <w:b/>
          <w:bCs/>
          <w:sz w:val="20"/>
          <w:szCs w:val="20"/>
        </w:rPr>
      </w:pPr>
      <w:r w:rsidRPr="00747A19">
        <w:rPr>
          <w:rFonts w:ascii="Times New Roman" w:hAnsi="Times New Roman" w:cs="Times New Roman"/>
          <w:b/>
          <w:bCs/>
          <w:sz w:val="20"/>
          <w:szCs w:val="20"/>
        </w:rPr>
        <w:t>Abstract</w:t>
      </w:r>
    </w:p>
    <w:p w14:paraId="5F1C8843" w14:textId="385F43E8" w:rsidR="00E5308B" w:rsidRDefault="00E5308B" w:rsidP="00E5308B">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Background: </w:t>
      </w:r>
      <w:r w:rsidRPr="009C6517">
        <w:rPr>
          <w:rFonts w:ascii="Times New Roman" w:hAnsi="Times New Roman" w:cs="Times New Roman"/>
          <w:sz w:val="20"/>
          <w:szCs w:val="20"/>
        </w:rPr>
        <w:t>Extrauterine growth restriction (EUGR) is multifactorial in etiology and predisposes infants to multiple morbidities that can be significantly ameliorated by adequate nutrition and appropriate longitudinal growth.</w:t>
      </w:r>
      <w:r w:rsidRPr="00E5308B">
        <w:rPr>
          <w:rFonts w:ascii="Times New Roman" w:hAnsi="Times New Roman" w:cs="Times New Roman"/>
          <w:sz w:val="20"/>
          <w:szCs w:val="20"/>
        </w:rPr>
        <w:t xml:space="preserve"> </w:t>
      </w:r>
      <w:r w:rsidRPr="009C6517">
        <w:rPr>
          <w:rFonts w:ascii="Times New Roman" w:hAnsi="Times New Roman" w:cs="Times New Roman"/>
          <w:sz w:val="20"/>
          <w:szCs w:val="20"/>
        </w:rPr>
        <w:t>Current strategies to reduce the risk of EUGR include optimization of parental nutrition, varying schedules of feeding advances, and caloric supplementation.</w:t>
      </w:r>
      <w:r>
        <w:rPr>
          <w:rFonts w:ascii="Times New Roman" w:hAnsi="Times New Roman" w:cs="Times New Roman"/>
          <w:sz w:val="20"/>
          <w:szCs w:val="20"/>
        </w:rPr>
        <w:t xml:space="preserve"> </w:t>
      </w:r>
      <w:r w:rsidRPr="009C6517">
        <w:rPr>
          <w:rFonts w:ascii="Times New Roman" w:hAnsi="Times New Roman" w:cs="Times New Roman"/>
          <w:sz w:val="20"/>
          <w:szCs w:val="20"/>
        </w:rPr>
        <w:t>Very low birthweight (VLBW) preterm infants are particularly affected by EUGR</w:t>
      </w:r>
      <w:r>
        <w:rPr>
          <w:rFonts w:ascii="Times New Roman" w:hAnsi="Times New Roman" w:cs="Times New Roman"/>
          <w:sz w:val="20"/>
          <w:szCs w:val="20"/>
        </w:rPr>
        <w:t>, therefore e</w:t>
      </w:r>
      <w:r w:rsidRPr="009C6517">
        <w:rPr>
          <w:rFonts w:ascii="Times New Roman" w:hAnsi="Times New Roman" w:cs="Times New Roman"/>
          <w:sz w:val="20"/>
          <w:szCs w:val="20"/>
        </w:rPr>
        <w:t>nsuring adequate postnatal growth is an essential component in improving the long-term health outcomes for VLBW infants.</w:t>
      </w:r>
      <w:r>
        <w:rPr>
          <w:rFonts w:ascii="Times New Roman" w:hAnsi="Times New Roman" w:cs="Times New Roman"/>
          <w:sz w:val="20"/>
          <w:szCs w:val="20"/>
        </w:rPr>
        <w:t xml:space="preserve"> </w:t>
      </w:r>
      <w:r w:rsidRPr="009C6517">
        <w:rPr>
          <w:rFonts w:ascii="Times New Roman" w:hAnsi="Times New Roman" w:cs="Times New Roman"/>
          <w:sz w:val="20"/>
          <w:szCs w:val="20"/>
        </w:rPr>
        <w:t xml:space="preserve">The objectives of this observational study were to examine potential </w:t>
      </w:r>
      <w:r>
        <w:rPr>
          <w:rFonts w:ascii="Times New Roman" w:hAnsi="Times New Roman" w:cs="Times New Roman"/>
          <w:sz w:val="20"/>
          <w:szCs w:val="20"/>
        </w:rPr>
        <w:t>risk factors for</w:t>
      </w:r>
      <w:r w:rsidRPr="009C6517">
        <w:rPr>
          <w:rFonts w:ascii="Times New Roman" w:hAnsi="Times New Roman" w:cs="Times New Roman"/>
          <w:sz w:val="20"/>
          <w:szCs w:val="20"/>
        </w:rPr>
        <w:t xml:space="preserve"> growth failure among premature infants that did not respond to caloric and volume supplementation.</w:t>
      </w:r>
    </w:p>
    <w:p w14:paraId="39BCF472" w14:textId="598254A2" w:rsidR="00E5308B" w:rsidRDefault="00E5308B" w:rsidP="00E5308B">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Methods: </w:t>
      </w:r>
      <w:r w:rsidRPr="009C6517">
        <w:rPr>
          <w:rFonts w:ascii="Times New Roman" w:hAnsi="Times New Roman" w:cs="Times New Roman"/>
          <w:sz w:val="20"/>
          <w:szCs w:val="20"/>
        </w:rPr>
        <w:t>We conducted a retrospective chart review of all infants born at the University of Massachusetts level III NICU from January 2016 to June 2020.</w:t>
      </w:r>
      <w:r>
        <w:rPr>
          <w:rFonts w:ascii="Times New Roman" w:hAnsi="Times New Roman" w:cs="Times New Roman"/>
          <w:sz w:val="20"/>
          <w:szCs w:val="20"/>
        </w:rPr>
        <w:t xml:space="preserve"> </w:t>
      </w:r>
      <w:r w:rsidRPr="009C6517">
        <w:rPr>
          <w:rFonts w:ascii="Times New Roman" w:hAnsi="Times New Roman" w:cs="Times New Roman"/>
          <w:sz w:val="20"/>
          <w:szCs w:val="20"/>
        </w:rPr>
        <w:t xml:space="preserve">Growth was tracked using </w:t>
      </w:r>
      <w:proofErr w:type="spellStart"/>
      <w:r w:rsidRPr="009C6517">
        <w:rPr>
          <w:rFonts w:ascii="Times New Roman" w:hAnsi="Times New Roman" w:cs="Times New Roman"/>
          <w:sz w:val="20"/>
          <w:szCs w:val="20"/>
        </w:rPr>
        <w:t>PediTools</w:t>
      </w:r>
      <w:proofErr w:type="spellEnd"/>
      <w:r w:rsidRPr="009C6517">
        <w:rPr>
          <w:rFonts w:ascii="Times New Roman" w:hAnsi="Times New Roman" w:cs="Times New Roman"/>
          <w:sz w:val="20"/>
          <w:szCs w:val="20"/>
        </w:rPr>
        <w:t xml:space="preserve"> electronic gestational age and growth calculators. (17) We reviewed the EMRs of infants who met the criteria for EUGR at the time of hospital discharge for a variety of potential factors affecting growth</w:t>
      </w:r>
      <w:r>
        <w:rPr>
          <w:rFonts w:ascii="Times New Roman" w:hAnsi="Times New Roman" w:cs="Times New Roman"/>
          <w:sz w:val="20"/>
          <w:szCs w:val="20"/>
        </w:rPr>
        <w:t xml:space="preserve">. </w:t>
      </w:r>
    </w:p>
    <w:p w14:paraId="29062615" w14:textId="036CE3A6" w:rsidR="00E5308B" w:rsidRPr="00507200" w:rsidRDefault="00E5308B" w:rsidP="00E5308B">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Results: </w:t>
      </w:r>
      <w:r w:rsidRPr="009C6517">
        <w:rPr>
          <w:rFonts w:ascii="Times New Roman" w:hAnsi="Times New Roman" w:cs="Times New Roman"/>
          <w:sz w:val="20"/>
          <w:szCs w:val="20"/>
        </w:rPr>
        <w:t>Overall, a total of 448 infants were screened</w:t>
      </w:r>
      <w:r>
        <w:rPr>
          <w:rFonts w:ascii="Times New Roman" w:hAnsi="Times New Roman" w:cs="Times New Roman"/>
          <w:sz w:val="20"/>
          <w:szCs w:val="20"/>
        </w:rPr>
        <w:t xml:space="preserve"> with </w:t>
      </w:r>
      <w:r w:rsidRPr="009C6517">
        <w:rPr>
          <w:rFonts w:ascii="Times New Roman" w:hAnsi="Times New Roman" w:cs="Times New Roman"/>
          <w:sz w:val="20"/>
          <w:szCs w:val="20"/>
        </w:rPr>
        <w:t>a final study cohort of 358 infants</w:t>
      </w:r>
      <w:r>
        <w:rPr>
          <w:rFonts w:ascii="Times New Roman" w:hAnsi="Times New Roman" w:cs="Times New Roman"/>
          <w:sz w:val="20"/>
          <w:szCs w:val="20"/>
        </w:rPr>
        <w:t xml:space="preserve">, of which 13% were discharge with EUGR. </w:t>
      </w:r>
      <w:r w:rsidRPr="009C6517">
        <w:rPr>
          <w:rFonts w:ascii="Times New Roman" w:hAnsi="Times New Roman" w:cs="Times New Roman"/>
          <w:sz w:val="20"/>
          <w:szCs w:val="20"/>
        </w:rPr>
        <w:t>Analysis of demographic and clinical characteristics</w:t>
      </w:r>
      <w:r>
        <w:rPr>
          <w:rFonts w:ascii="Times New Roman" w:hAnsi="Times New Roman" w:cs="Times New Roman"/>
          <w:sz w:val="20"/>
          <w:szCs w:val="20"/>
        </w:rPr>
        <w:t xml:space="preserve"> </w:t>
      </w:r>
      <w:r w:rsidRPr="009C6517">
        <w:rPr>
          <w:rFonts w:ascii="Times New Roman" w:hAnsi="Times New Roman" w:cs="Times New Roman"/>
          <w:sz w:val="20"/>
          <w:szCs w:val="20"/>
        </w:rPr>
        <w:t xml:space="preserve">of infants with EUGR </w:t>
      </w:r>
      <w:r>
        <w:rPr>
          <w:rFonts w:ascii="Times New Roman" w:hAnsi="Times New Roman" w:cs="Times New Roman"/>
          <w:sz w:val="20"/>
          <w:szCs w:val="20"/>
        </w:rPr>
        <w:t>before and after nutritional intervention</w:t>
      </w:r>
      <w:r w:rsidRPr="009C6517">
        <w:rPr>
          <w:rFonts w:ascii="Times New Roman" w:hAnsi="Times New Roman" w:cs="Times New Roman"/>
          <w:sz w:val="20"/>
          <w:szCs w:val="20"/>
        </w:rPr>
        <w:t xml:space="preserve"> showed no statistically significant differences</w:t>
      </w:r>
      <w:r>
        <w:rPr>
          <w:rFonts w:ascii="Times New Roman" w:hAnsi="Times New Roman" w:cs="Times New Roman"/>
          <w:sz w:val="20"/>
          <w:szCs w:val="20"/>
        </w:rPr>
        <w:t xml:space="preserve"> between the two cohorts</w:t>
      </w:r>
      <w:r w:rsidRPr="00747A1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07200">
        <w:rPr>
          <w:rFonts w:ascii="Times New Roman" w:hAnsi="Times New Roman" w:cs="Times New Roman"/>
          <w:sz w:val="20"/>
          <w:szCs w:val="20"/>
        </w:rPr>
        <w:t>Pre-protocol, only weight percentiles and z-scores were statistically significant. Post-protocol, the change in z-score was also statistically significant</w:t>
      </w:r>
      <w:r>
        <w:rPr>
          <w:rFonts w:ascii="Times New Roman" w:hAnsi="Times New Roman" w:cs="Times New Roman"/>
          <w:sz w:val="20"/>
          <w:szCs w:val="20"/>
        </w:rPr>
        <w:t>.</w:t>
      </w:r>
      <w:r w:rsidRPr="00507200">
        <w:rPr>
          <w:rFonts w:ascii="Times New Roman" w:hAnsi="Times New Roman" w:cs="Times New Roman"/>
          <w:sz w:val="20"/>
          <w:szCs w:val="20"/>
        </w:rPr>
        <w:t xml:space="preserve"> The only factor found to be statistically significantly different between was </w:t>
      </w:r>
      <w:r w:rsidRPr="00507200">
        <w:rPr>
          <w:rFonts w:ascii="Times New Roman" w:hAnsi="Times New Roman" w:cs="Times New Roman"/>
          <w:sz w:val="20"/>
          <w:szCs w:val="20"/>
        </w:rPr>
        <w:t>N</w:t>
      </w:r>
      <w:r>
        <w:rPr>
          <w:rFonts w:ascii="Times New Roman" w:hAnsi="Times New Roman" w:cs="Times New Roman"/>
          <w:sz w:val="20"/>
          <w:szCs w:val="20"/>
        </w:rPr>
        <w:t>ecrotizing enterocolitis (NEC). Timing</w:t>
      </w:r>
      <w:r w:rsidRPr="00507200">
        <w:rPr>
          <w:rFonts w:ascii="Times New Roman" w:hAnsi="Times New Roman" w:cs="Times New Roman"/>
          <w:sz w:val="20"/>
          <w:szCs w:val="20"/>
        </w:rPr>
        <w:t xml:space="preserve"> of EUGR in the pre-protocol groups occurred between 33-35 weeks, while in the post-protocol group EUGR occurred between 32 and 37 weeks (Figure 2).</w:t>
      </w:r>
    </w:p>
    <w:p w14:paraId="1D85547B" w14:textId="48AF70D5" w:rsidR="00E5308B" w:rsidRPr="00507200" w:rsidRDefault="00E5308B" w:rsidP="00E5308B">
      <w:pPr>
        <w:pStyle w:val="Default"/>
        <w:spacing w:line="360" w:lineRule="auto"/>
        <w:ind w:firstLine="720"/>
        <w:rPr>
          <w:sz w:val="20"/>
          <w:szCs w:val="20"/>
        </w:rPr>
      </w:pPr>
      <w:r>
        <w:rPr>
          <w:sz w:val="20"/>
          <w:szCs w:val="20"/>
        </w:rPr>
        <w:t>Conclusion</w:t>
      </w:r>
      <w:r>
        <w:rPr>
          <w:sz w:val="20"/>
          <w:szCs w:val="20"/>
        </w:rPr>
        <w:t>s</w:t>
      </w:r>
      <w:r>
        <w:rPr>
          <w:sz w:val="20"/>
          <w:szCs w:val="20"/>
        </w:rPr>
        <w:t>:</w:t>
      </w:r>
      <w:r>
        <w:rPr>
          <w:sz w:val="20"/>
          <w:szCs w:val="20"/>
        </w:rPr>
        <w:t xml:space="preserve"> </w:t>
      </w:r>
      <w:r w:rsidRPr="009C6517">
        <w:rPr>
          <w:sz w:val="20"/>
          <w:szCs w:val="20"/>
        </w:rPr>
        <w:t>Our findings confirmed the presence of several factors that have been previously shown to increase risk for EUGR, including male sex, lower gestational age, lower birth weight, and the occurrence of NEC. It also identified an additional risk factor, that of being born “constitutionally small”.</w:t>
      </w:r>
      <w:r>
        <w:rPr>
          <w:sz w:val="20"/>
          <w:szCs w:val="20"/>
        </w:rPr>
        <w:t xml:space="preserve"> I</w:t>
      </w:r>
      <w:r w:rsidRPr="00507200">
        <w:rPr>
          <w:sz w:val="20"/>
          <w:szCs w:val="20"/>
        </w:rPr>
        <w:t>n the post-protocol cohort, the change in z-score was statistically significant in addition to birth weight percentile and z-score and discharge weight percentile in z-score.</w:t>
      </w:r>
      <w:r>
        <w:rPr>
          <w:sz w:val="20"/>
          <w:szCs w:val="20"/>
        </w:rPr>
        <w:t xml:space="preserve"> </w:t>
      </w:r>
      <w:r w:rsidRPr="00507200">
        <w:rPr>
          <w:sz w:val="20"/>
          <w:szCs w:val="20"/>
        </w:rPr>
        <w:t xml:space="preserve">The window in which EUGR occurred as well as the interquartile range was significantly widened </w:t>
      </w:r>
      <w:r>
        <w:rPr>
          <w:sz w:val="20"/>
          <w:szCs w:val="20"/>
        </w:rPr>
        <w:t>post-protocol</w:t>
      </w:r>
      <w:r w:rsidRPr="00507200">
        <w:rPr>
          <w:sz w:val="20"/>
          <w:szCs w:val="20"/>
        </w:rPr>
        <w:t>. These data suggest that the volume supplementation protocol successfully addressed the causes of EUGR in some infants, but other mechanisms may have occurred in infants who were still discharged with EUGR post-protocol.</w:t>
      </w:r>
    </w:p>
    <w:p w14:paraId="649095E4" w14:textId="19D340A5" w:rsidR="00E5308B" w:rsidRDefault="00E5308B" w:rsidP="00747A19">
      <w:pPr>
        <w:spacing w:line="360" w:lineRule="auto"/>
        <w:rPr>
          <w:rFonts w:ascii="Times New Roman" w:hAnsi="Times New Roman" w:cs="Times New Roman"/>
          <w:b/>
          <w:bCs/>
          <w:sz w:val="20"/>
          <w:szCs w:val="20"/>
        </w:rPr>
      </w:pPr>
    </w:p>
    <w:p w14:paraId="5863B43C" w14:textId="77777777" w:rsidR="00E5308B" w:rsidRPr="00747A19" w:rsidRDefault="00E5308B" w:rsidP="00747A19">
      <w:pPr>
        <w:spacing w:line="360" w:lineRule="auto"/>
        <w:rPr>
          <w:rFonts w:ascii="Times New Roman" w:hAnsi="Times New Roman" w:cs="Times New Roman"/>
          <w:b/>
          <w:bCs/>
          <w:sz w:val="20"/>
          <w:szCs w:val="20"/>
        </w:rPr>
      </w:pPr>
    </w:p>
    <w:p w14:paraId="0D0D87CD" w14:textId="1CBFDEC7" w:rsidR="00041AD3" w:rsidRPr="00747A19" w:rsidRDefault="00041AD3" w:rsidP="00747A19">
      <w:pPr>
        <w:spacing w:line="360" w:lineRule="auto"/>
        <w:rPr>
          <w:rFonts w:ascii="Times New Roman" w:hAnsi="Times New Roman" w:cs="Times New Roman"/>
          <w:b/>
          <w:bCs/>
          <w:sz w:val="20"/>
          <w:szCs w:val="20"/>
        </w:rPr>
      </w:pPr>
      <w:r w:rsidRPr="00747A19">
        <w:rPr>
          <w:rFonts w:ascii="Times New Roman" w:hAnsi="Times New Roman" w:cs="Times New Roman"/>
          <w:b/>
          <w:bCs/>
          <w:sz w:val="20"/>
          <w:szCs w:val="20"/>
        </w:rPr>
        <w:t>Background</w:t>
      </w:r>
    </w:p>
    <w:p w14:paraId="0CBBD91C" w14:textId="68E5CDFF" w:rsidR="00F0384A" w:rsidRPr="009C6517" w:rsidRDefault="00F0384A" w:rsidP="00747A19">
      <w:pPr>
        <w:spacing w:line="360" w:lineRule="auto"/>
        <w:ind w:firstLine="720"/>
        <w:rPr>
          <w:rFonts w:ascii="Times New Roman" w:eastAsia="Times New Roman" w:hAnsi="Times New Roman" w:cs="Times New Roman"/>
          <w:color w:val="2E2E2E"/>
          <w:sz w:val="20"/>
          <w:szCs w:val="20"/>
        </w:rPr>
      </w:pPr>
      <w:r w:rsidRPr="009C6517">
        <w:rPr>
          <w:rFonts w:ascii="Times New Roman" w:hAnsi="Times New Roman" w:cs="Times New Roman"/>
          <w:sz w:val="20"/>
          <w:szCs w:val="20"/>
        </w:rPr>
        <w:t>Extrauterine growth restriction (EUGR)</w:t>
      </w:r>
      <w:r w:rsidR="007A5651" w:rsidRPr="009C6517">
        <w:rPr>
          <w:rFonts w:ascii="Times New Roman" w:hAnsi="Times New Roman" w:cs="Times New Roman"/>
          <w:sz w:val="20"/>
          <w:szCs w:val="20"/>
        </w:rPr>
        <w:t xml:space="preserve"> </w:t>
      </w:r>
      <w:r w:rsidRPr="009C6517">
        <w:rPr>
          <w:rFonts w:ascii="Times New Roman" w:hAnsi="Times New Roman" w:cs="Times New Roman"/>
          <w:sz w:val="20"/>
          <w:szCs w:val="20"/>
        </w:rPr>
        <w:t xml:space="preserve">is multifactorial in etiology and </w:t>
      </w:r>
      <w:r w:rsidR="00540F30" w:rsidRPr="009C6517">
        <w:rPr>
          <w:rFonts w:ascii="Times New Roman" w:hAnsi="Times New Roman" w:cs="Times New Roman"/>
          <w:sz w:val="20"/>
          <w:szCs w:val="20"/>
        </w:rPr>
        <w:t xml:space="preserve">predisposes infants to </w:t>
      </w:r>
      <w:r w:rsidR="00041AD3" w:rsidRPr="009C6517">
        <w:rPr>
          <w:rFonts w:ascii="Times New Roman" w:hAnsi="Times New Roman" w:cs="Times New Roman"/>
          <w:sz w:val="20"/>
          <w:szCs w:val="20"/>
        </w:rPr>
        <w:t xml:space="preserve">multiple morbidities that can be significantly ameliorated by adequate nutrition and </w:t>
      </w:r>
      <w:r w:rsidR="00DC68D4" w:rsidRPr="009C6517">
        <w:rPr>
          <w:rFonts w:ascii="Times New Roman" w:hAnsi="Times New Roman" w:cs="Times New Roman"/>
          <w:sz w:val="20"/>
          <w:szCs w:val="20"/>
        </w:rPr>
        <w:t xml:space="preserve">appropriate longitudinal </w:t>
      </w:r>
      <w:r w:rsidR="00041AD3" w:rsidRPr="009C6517">
        <w:rPr>
          <w:rFonts w:ascii="Times New Roman" w:hAnsi="Times New Roman" w:cs="Times New Roman"/>
          <w:sz w:val="20"/>
          <w:szCs w:val="20"/>
        </w:rPr>
        <w:t>growth. (1-4)</w:t>
      </w:r>
      <w:r w:rsidRPr="009C6517">
        <w:rPr>
          <w:rFonts w:ascii="Times New Roman" w:hAnsi="Times New Roman" w:cs="Times New Roman"/>
          <w:sz w:val="20"/>
          <w:szCs w:val="20"/>
        </w:rPr>
        <w:t xml:space="preserve"> </w:t>
      </w:r>
      <w:r w:rsidR="00540F30" w:rsidRPr="009C6517">
        <w:rPr>
          <w:rFonts w:ascii="Times New Roman" w:hAnsi="Times New Roman" w:cs="Times New Roman"/>
          <w:sz w:val="20"/>
          <w:szCs w:val="20"/>
        </w:rPr>
        <w:t xml:space="preserve">Premature infants who experience EUGR are at risk for </w:t>
      </w:r>
      <w:r w:rsidR="00540F30" w:rsidRPr="009C6517">
        <w:rPr>
          <w:rFonts w:ascii="Times New Roman" w:eastAsia="Times New Roman" w:hAnsi="Times New Roman" w:cs="Times New Roman"/>
          <w:sz w:val="20"/>
          <w:szCs w:val="20"/>
        </w:rPr>
        <w:t>developmental delays,</w:t>
      </w:r>
      <w:r w:rsidR="00540F30" w:rsidRPr="009C6517">
        <w:rPr>
          <w:rFonts w:ascii="Times New Roman" w:eastAsia="Times New Roman" w:hAnsi="Times New Roman" w:cs="Times New Roman"/>
          <w:color w:val="2E2E2E"/>
          <w:sz w:val="20"/>
          <w:szCs w:val="20"/>
        </w:rPr>
        <w:t xml:space="preserve"> behavioral problems, and cardiometabolic dysregulation. (5) </w:t>
      </w:r>
      <w:r w:rsidRPr="009C6517">
        <w:rPr>
          <w:rFonts w:ascii="Times New Roman" w:hAnsi="Times New Roman" w:cs="Times New Roman"/>
          <w:sz w:val="20"/>
          <w:szCs w:val="20"/>
        </w:rPr>
        <w:t>Current strategies to</w:t>
      </w:r>
      <w:r w:rsidR="00964647" w:rsidRPr="009C6517">
        <w:rPr>
          <w:rFonts w:ascii="Times New Roman" w:hAnsi="Times New Roman" w:cs="Times New Roman"/>
          <w:sz w:val="20"/>
          <w:szCs w:val="20"/>
        </w:rPr>
        <w:t xml:space="preserve"> reduce the risk of EUGR</w:t>
      </w:r>
      <w:r w:rsidRPr="009C6517">
        <w:rPr>
          <w:rFonts w:ascii="Times New Roman" w:hAnsi="Times New Roman" w:cs="Times New Roman"/>
          <w:sz w:val="20"/>
          <w:szCs w:val="20"/>
        </w:rPr>
        <w:t xml:space="preserve"> include optimization of parental nutrition, varying schedules of feeding advances, and caloric supplementation (1</w:t>
      </w:r>
      <w:r w:rsidR="00B179A7" w:rsidRPr="009C6517">
        <w:rPr>
          <w:rFonts w:ascii="Times New Roman" w:hAnsi="Times New Roman" w:cs="Times New Roman"/>
          <w:sz w:val="20"/>
          <w:szCs w:val="20"/>
        </w:rPr>
        <w:t>2</w:t>
      </w:r>
      <w:r w:rsidRPr="009C6517">
        <w:rPr>
          <w:rFonts w:ascii="Times New Roman" w:hAnsi="Times New Roman" w:cs="Times New Roman"/>
          <w:sz w:val="20"/>
          <w:szCs w:val="20"/>
        </w:rPr>
        <w:t>-1</w:t>
      </w:r>
      <w:r w:rsidR="00B179A7" w:rsidRPr="009C6517">
        <w:rPr>
          <w:rFonts w:ascii="Times New Roman" w:hAnsi="Times New Roman" w:cs="Times New Roman"/>
          <w:sz w:val="20"/>
          <w:szCs w:val="20"/>
        </w:rPr>
        <w:t>5</w:t>
      </w:r>
      <w:r w:rsidR="00475D84" w:rsidRPr="009C6517">
        <w:rPr>
          <w:rFonts w:ascii="Times New Roman" w:hAnsi="Times New Roman" w:cs="Times New Roman"/>
          <w:sz w:val="20"/>
          <w:szCs w:val="20"/>
        </w:rPr>
        <w:t>)</w:t>
      </w:r>
      <w:r w:rsidRPr="009C6517">
        <w:rPr>
          <w:rFonts w:ascii="Times New Roman" w:hAnsi="Times New Roman" w:cs="Times New Roman"/>
          <w:sz w:val="20"/>
          <w:szCs w:val="20"/>
        </w:rPr>
        <w:t>.</w:t>
      </w:r>
      <w:r w:rsidR="00475D84" w:rsidRPr="009C6517">
        <w:rPr>
          <w:rFonts w:ascii="Times New Roman" w:hAnsi="Times New Roman" w:cs="Times New Roman"/>
          <w:sz w:val="20"/>
          <w:szCs w:val="20"/>
        </w:rPr>
        <w:t xml:space="preserve"> Major contributors to the development of EUGR include </w:t>
      </w:r>
      <w:r w:rsidR="00475D84" w:rsidRPr="009C6517">
        <w:rPr>
          <w:rFonts w:ascii="Times New Roman" w:eastAsia="Times New Roman" w:hAnsi="Times New Roman" w:cs="Times New Roman"/>
          <w:sz w:val="20"/>
          <w:szCs w:val="20"/>
        </w:rPr>
        <w:t xml:space="preserve">delayed time to full volume and calorie enteral feeds as well as </w:t>
      </w:r>
      <w:r w:rsidR="00475D84" w:rsidRPr="009C6517">
        <w:rPr>
          <w:rFonts w:ascii="Times New Roman" w:hAnsi="Times New Roman" w:cs="Times New Roman"/>
          <w:sz w:val="20"/>
          <w:szCs w:val="20"/>
        </w:rPr>
        <w:t>insufficient protein and caloric intake, particularly in the first weeks of life (8). Other factors associated with EUGR include</w:t>
      </w:r>
      <w:r w:rsidR="00475D84" w:rsidRPr="009C6517">
        <w:rPr>
          <w:rFonts w:ascii="Times New Roman" w:eastAsia="Times New Roman" w:hAnsi="Times New Roman" w:cs="Times New Roman"/>
          <w:sz w:val="20"/>
          <w:szCs w:val="20"/>
        </w:rPr>
        <w:t xml:space="preserve"> prenatal </w:t>
      </w:r>
      <w:r w:rsidR="00475D84" w:rsidRPr="009C6517">
        <w:rPr>
          <w:rFonts w:ascii="Times New Roman" w:eastAsia="Times New Roman" w:hAnsi="Times New Roman" w:cs="Times New Roman"/>
          <w:sz w:val="20"/>
          <w:szCs w:val="20"/>
        </w:rPr>
        <w:lastRenderedPageBreak/>
        <w:t>factors, gestational age and weight at birth, respiratory distress syndrome, necrotizing enterocolitis bronchopulmonary dysplasia, and male sex. (9-11) However, the directionality of association between these factors and EUGR is unclear in many cases.</w:t>
      </w:r>
    </w:p>
    <w:p w14:paraId="2488DA03" w14:textId="5BD8D7FB" w:rsidR="00A754A9" w:rsidRPr="009C6517" w:rsidRDefault="00177A77" w:rsidP="00747A19">
      <w:pPr>
        <w:spacing w:line="360" w:lineRule="auto"/>
        <w:ind w:firstLine="720"/>
        <w:rPr>
          <w:rFonts w:ascii="Times New Roman" w:eastAsia="Times New Roman" w:hAnsi="Times New Roman" w:cs="Times New Roman"/>
          <w:sz w:val="20"/>
          <w:szCs w:val="20"/>
        </w:rPr>
      </w:pPr>
      <w:r w:rsidRPr="009C6517">
        <w:rPr>
          <w:rFonts w:ascii="Times New Roman" w:hAnsi="Times New Roman" w:cs="Times New Roman"/>
          <w:sz w:val="20"/>
          <w:szCs w:val="20"/>
        </w:rPr>
        <w:t xml:space="preserve">Very low birthweight (VLBW) preterm infants are particularly affected by EUGR. (1) </w:t>
      </w:r>
      <w:r w:rsidR="00A754A9" w:rsidRPr="009C6517">
        <w:rPr>
          <w:rFonts w:ascii="Times New Roman" w:hAnsi="Times New Roman" w:cs="Times New Roman"/>
          <w:sz w:val="20"/>
          <w:szCs w:val="20"/>
        </w:rPr>
        <w:t>M</w:t>
      </w:r>
      <w:r w:rsidR="00F0384A" w:rsidRPr="009C6517">
        <w:rPr>
          <w:rFonts w:ascii="Times New Roman" w:hAnsi="Times New Roman" w:cs="Times New Roman"/>
          <w:sz w:val="20"/>
          <w:szCs w:val="20"/>
        </w:rPr>
        <w:t>any</w:t>
      </w:r>
      <w:r w:rsidR="00A754A9" w:rsidRPr="009C6517">
        <w:rPr>
          <w:rFonts w:ascii="Times New Roman" w:hAnsi="Times New Roman" w:cs="Times New Roman"/>
          <w:sz w:val="20"/>
          <w:szCs w:val="20"/>
        </w:rPr>
        <w:t xml:space="preserve"> </w:t>
      </w:r>
      <w:r w:rsidR="00540F30" w:rsidRPr="009C6517">
        <w:rPr>
          <w:rFonts w:ascii="Times New Roman" w:hAnsi="Times New Roman" w:cs="Times New Roman"/>
          <w:sz w:val="20"/>
          <w:szCs w:val="20"/>
        </w:rPr>
        <w:t xml:space="preserve">VLBW infants demonstrate poor longitudinal growth patterns during their </w:t>
      </w:r>
      <w:r w:rsidR="00A754A9" w:rsidRPr="009C6517">
        <w:rPr>
          <w:rFonts w:ascii="Times New Roman" w:hAnsi="Times New Roman" w:cs="Times New Roman"/>
          <w:sz w:val="20"/>
          <w:szCs w:val="20"/>
        </w:rPr>
        <w:t xml:space="preserve">hospitalization in a </w:t>
      </w:r>
      <w:r w:rsidR="00B179A7" w:rsidRPr="009C6517">
        <w:rPr>
          <w:rFonts w:ascii="Times New Roman" w:hAnsi="Times New Roman" w:cs="Times New Roman"/>
          <w:sz w:val="20"/>
          <w:szCs w:val="20"/>
        </w:rPr>
        <w:t>neonatal intensive care un</w:t>
      </w:r>
      <w:r w:rsidR="00A754A9" w:rsidRPr="009C6517">
        <w:rPr>
          <w:rFonts w:ascii="Times New Roman" w:hAnsi="Times New Roman" w:cs="Times New Roman"/>
          <w:sz w:val="20"/>
          <w:szCs w:val="20"/>
        </w:rPr>
        <w:t>it</w:t>
      </w:r>
      <w:r w:rsidR="007F22E6" w:rsidRPr="009C6517">
        <w:rPr>
          <w:rFonts w:ascii="Times New Roman" w:hAnsi="Times New Roman" w:cs="Times New Roman"/>
          <w:sz w:val="20"/>
          <w:szCs w:val="20"/>
        </w:rPr>
        <w:t xml:space="preserve">, </w:t>
      </w:r>
      <w:r w:rsidR="00540F30" w:rsidRPr="009C6517">
        <w:rPr>
          <w:rFonts w:ascii="Times New Roman" w:hAnsi="Times New Roman" w:cs="Times New Roman"/>
          <w:sz w:val="20"/>
          <w:szCs w:val="20"/>
        </w:rPr>
        <w:t xml:space="preserve">leading to </w:t>
      </w:r>
      <w:r w:rsidR="00C513E8" w:rsidRPr="009C6517">
        <w:rPr>
          <w:rFonts w:ascii="Times New Roman" w:hAnsi="Times New Roman" w:cs="Times New Roman"/>
          <w:sz w:val="20"/>
          <w:szCs w:val="20"/>
        </w:rPr>
        <w:t xml:space="preserve">EUGR </w:t>
      </w:r>
      <w:r w:rsidR="00540F30" w:rsidRPr="009C6517">
        <w:rPr>
          <w:rFonts w:ascii="Times New Roman" w:hAnsi="Times New Roman" w:cs="Times New Roman"/>
          <w:sz w:val="20"/>
          <w:szCs w:val="20"/>
        </w:rPr>
        <w:t>that persists long after discharge. (3,6) Every year</w:t>
      </w:r>
      <w:r w:rsidR="009228B4" w:rsidRPr="009C6517">
        <w:rPr>
          <w:rFonts w:ascii="Times New Roman" w:hAnsi="Times New Roman" w:cs="Times New Roman"/>
          <w:sz w:val="20"/>
          <w:szCs w:val="20"/>
        </w:rPr>
        <w:t xml:space="preserve">, </w:t>
      </w:r>
      <w:r w:rsidR="00540F30" w:rsidRPr="009C6517">
        <w:rPr>
          <w:rFonts w:ascii="Times New Roman" w:hAnsi="Times New Roman" w:cs="Times New Roman"/>
          <w:sz w:val="20"/>
          <w:szCs w:val="20"/>
        </w:rPr>
        <w:t xml:space="preserve">approximately </w:t>
      </w:r>
      <w:r w:rsidR="00964647" w:rsidRPr="009C6517">
        <w:rPr>
          <w:rFonts w:ascii="Times New Roman" w:hAnsi="Times New Roman" w:cs="Times New Roman"/>
          <w:sz w:val="20"/>
          <w:szCs w:val="20"/>
        </w:rPr>
        <w:t xml:space="preserve">one-quarter </w:t>
      </w:r>
      <w:r w:rsidR="00540F30" w:rsidRPr="009C6517">
        <w:rPr>
          <w:rFonts w:ascii="Times New Roman" w:hAnsi="Times New Roman" w:cs="Times New Roman"/>
          <w:sz w:val="20"/>
          <w:szCs w:val="20"/>
        </w:rPr>
        <w:t>of premature infants born appropriate for gestational age</w:t>
      </w:r>
      <w:r w:rsidR="00A754A9" w:rsidRPr="009C6517">
        <w:rPr>
          <w:rFonts w:ascii="Times New Roman" w:hAnsi="Times New Roman" w:cs="Times New Roman"/>
          <w:sz w:val="20"/>
          <w:szCs w:val="20"/>
        </w:rPr>
        <w:t xml:space="preserve">, </w:t>
      </w:r>
      <w:r w:rsidR="00540F30" w:rsidRPr="009C6517">
        <w:rPr>
          <w:rFonts w:ascii="Times New Roman" w:hAnsi="Times New Roman" w:cs="Times New Roman"/>
          <w:sz w:val="20"/>
          <w:szCs w:val="20"/>
        </w:rPr>
        <w:t xml:space="preserve">and </w:t>
      </w:r>
      <w:r w:rsidR="00964647" w:rsidRPr="009C6517">
        <w:rPr>
          <w:rFonts w:ascii="Times New Roman" w:hAnsi="Times New Roman" w:cs="Times New Roman"/>
          <w:sz w:val="20"/>
          <w:szCs w:val="20"/>
        </w:rPr>
        <w:t xml:space="preserve">more than three quarters </w:t>
      </w:r>
      <w:r w:rsidR="00540F30" w:rsidRPr="009C6517">
        <w:rPr>
          <w:rFonts w:ascii="Times New Roman" w:hAnsi="Times New Roman" w:cs="Times New Roman"/>
          <w:sz w:val="20"/>
          <w:szCs w:val="20"/>
        </w:rPr>
        <w:t>of premature infants born small for gestational age</w:t>
      </w:r>
      <w:r w:rsidR="00A754A9" w:rsidRPr="009C6517">
        <w:rPr>
          <w:rFonts w:ascii="Times New Roman" w:hAnsi="Times New Roman" w:cs="Times New Roman"/>
          <w:sz w:val="20"/>
          <w:szCs w:val="20"/>
        </w:rPr>
        <w:t xml:space="preserve">, </w:t>
      </w:r>
      <w:r w:rsidR="00540F30" w:rsidRPr="009C6517">
        <w:rPr>
          <w:rFonts w:ascii="Times New Roman" w:hAnsi="Times New Roman" w:cs="Times New Roman"/>
          <w:sz w:val="20"/>
          <w:szCs w:val="20"/>
        </w:rPr>
        <w:t>are discharged from the</w:t>
      </w:r>
      <w:r w:rsidR="00A754A9" w:rsidRPr="009C6517">
        <w:rPr>
          <w:rFonts w:ascii="Times New Roman" w:hAnsi="Times New Roman" w:cs="Times New Roman"/>
          <w:sz w:val="20"/>
          <w:szCs w:val="20"/>
        </w:rPr>
        <w:t xml:space="preserve"> neonatal intensive care unit</w:t>
      </w:r>
      <w:r w:rsidR="00540F30" w:rsidRPr="009C6517">
        <w:rPr>
          <w:rFonts w:ascii="Times New Roman" w:hAnsi="Times New Roman" w:cs="Times New Roman"/>
          <w:sz w:val="20"/>
          <w:szCs w:val="20"/>
        </w:rPr>
        <w:t xml:space="preserve"> with EUGR. (10) </w:t>
      </w:r>
      <w:r w:rsidR="00964647" w:rsidRPr="009C6517">
        <w:rPr>
          <w:rFonts w:ascii="Times New Roman" w:hAnsi="Times New Roman" w:cs="Times New Roman"/>
          <w:sz w:val="20"/>
          <w:szCs w:val="20"/>
        </w:rPr>
        <w:t>E</w:t>
      </w:r>
      <w:r w:rsidR="00540F30" w:rsidRPr="009C6517">
        <w:rPr>
          <w:rFonts w:ascii="Times New Roman" w:hAnsi="Times New Roman" w:cs="Times New Roman"/>
          <w:sz w:val="20"/>
          <w:szCs w:val="20"/>
        </w:rPr>
        <w:t xml:space="preserve">nsuring adequate postnatal growth is an essential component in improving </w:t>
      </w:r>
      <w:r w:rsidR="00964647" w:rsidRPr="009C6517">
        <w:rPr>
          <w:rFonts w:ascii="Times New Roman" w:hAnsi="Times New Roman" w:cs="Times New Roman"/>
          <w:sz w:val="20"/>
          <w:szCs w:val="20"/>
        </w:rPr>
        <w:t xml:space="preserve">the </w:t>
      </w:r>
      <w:r w:rsidR="00540F30" w:rsidRPr="009C6517">
        <w:rPr>
          <w:rFonts w:ascii="Times New Roman" w:hAnsi="Times New Roman" w:cs="Times New Roman"/>
          <w:sz w:val="20"/>
          <w:szCs w:val="20"/>
        </w:rPr>
        <w:t>long-term health outcomes for VLBW infants. (1-4)</w:t>
      </w:r>
      <w:r w:rsidR="00540F30" w:rsidRPr="009C6517">
        <w:rPr>
          <w:rFonts w:ascii="Times New Roman" w:eastAsia="Times New Roman" w:hAnsi="Times New Roman" w:cs="Times New Roman"/>
          <w:sz w:val="20"/>
          <w:szCs w:val="20"/>
        </w:rPr>
        <w:t xml:space="preserve"> </w:t>
      </w:r>
    </w:p>
    <w:p w14:paraId="14E2C983" w14:textId="2B5280B5" w:rsidR="00540F30" w:rsidRDefault="00856C3E" w:rsidP="00747A19">
      <w:pPr>
        <w:spacing w:line="360" w:lineRule="auto"/>
        <w:ind w:firstLine="720"/>
        <w:rPr>
          <w:rFonts w:ascii="Times New Roman" w:hAnsi="Times New Roman" w:cs="Times New Roman"/>
          <w:color w:val="000000" w:themeColor="text1"/>
          <w:sz w:val="20"/>
          <w:szCs w:val="20"/>
        </w:rPr>
      </w:pPr>
      <w:r w:rsidRPr="009C6517">
        <w:rPr>
          <w:rFonts w:ascii="Times New Roman" w:hAnsi="Times New Roman" w:cs="Times New Roman"/>
          <w:sz w:val="20"/>
          <w:szCs w:val="20"/>
        </w:rPr>
        <w:t xml:space="preserve">The </w:t>
      </w:r>
      <w:r w:rsidR="00A754A9" w:rsidRPr="009C6517">
        <w:rPr>
          <w:rFonts w:ascii="Times New Roman" w:hAnsi="Times New Roman" w:cs="Times New Roman"/>
          <w:sz w:val="20"/>
          <w:szCs w:val="20"/>
        </w:rPr>
        <w:t xml:space="preserve">objectives </w:t>
      </w:r>
      <w:r w:rsidRPr="009C6517">
        <w:rPr>
          <w:rFonts w:ascii="Times New Roman" w:hAnsi="Times New Roman" w:cs="Times New Roman"/>
          <w:sz w:val="20"/>
          <w:szCs w:val="20"/>
        </w:rPr>
        <w:t xml:space="preserve">of this </w:t>
      </w:r>
      <w:r w:rsidR="00A754A9" w:rsidRPr="009C6517">
        <w:rPr>
          <w:rFonts w:ascii="Times New Roman" w:hAnsi="Times New Roman" w:cs="Times New Roman"/>
          <w:sz w:val="20"/>
          <w:szCs w:val="20"/>
        </w:rPr>
        <w:t xml:space="preserve">observational </w:t>
      </w:r>
      <w:r w:rsidRPr="009C6517">
        <w:rPr>
          <w:rFonts w:ascii="Times New Roman" w:hAnsi="Times New Roman" w:cs="Times New Roman"/>
          <w:sz w:val="20"/>
          <w:szCs w:val="20"/>
        </w:rPr>
        <w:t>study w</w:t>
      </w:r>
      <w:r w:rsidR="00A754A9" w:rsidRPr="009C6517">
        <w:rPr>
          <w:rFonts w:ascii="Times New Roman" w:hAnsi="Times New Roman" w:cs="Times New Roman"/>
          <w:sz w:val="20"/>
          <w:szCs w:val="20"/>
        </w:rPr>
        <w:t>ere</w:t>
      </w:r>
      <w:r w:rsidRPr="009C6517">
        <w:rPr>
          <w:rFonts w:ascii="Times New Roman" w:hAnsi="Times New Roman" w:cs="Times New Roman"/>
          <w:sz w:val="20"/>
          <w:szCs w:val="20"/>
        </w:rPr>
        <w:t xml:space="preserve"> to examine potential </w:t>
      </w:r>
      <w:r w:rsidR="00114F10">
        <w:rPr>
          <w:rFonts w:ascii="Times New Roman" w:hAnsi="Times New Roman" w:cs="Times New Roman"/>
          <w:sz w:val="20"/>
          <w:szCs w:val="20"/>
        </w:rPr>
        <w:t>risk factors for</w:t>
      </w:r>
      <w:r w:rsidRPr="009C6517">
        <w:rPr>
          <w:rFonts w:ascii="Times New Roman" w:hAnsi="Times New Roman" w:cs="Times New Roman"/>
          <w:sz w:val="20"/>
          <w:szCs w:val="20"/>
        </w:rPr>
        <w:t xml:space="preserve"> growth failure </w:t>
      </w:r>
      <w:r w:rsidR="00A754A9" w:rsidRPr="009C6517">
        <w:rPr>
          <w:rFonts w:ascii="Times New Roman" w:hAnsi="Times New Roman" w:cs="Times New Roman"/>
          <w:sz w:val="20"/>
          <w:szCs w:val="20"/>
        </w:rPr>
        <w:t>among</w:t>
      </w:r>
      <w:r w:rsidR="00C318E2" w:rsidRPr="009C6517">
        <w:rPr>
          <w:rFonts w:ascii="Times New Roman" w:hAnsi="Times New Roman" w:cs="Times New Roman"/>
          <w:sz w:val="20"/>
          <w:szCs w:val="20"/>
        </w:rPr>
        <w:t xml:space="preserve"> premature infants that </w:t>
      </w:r>
      <w:r w:rsidRPr="009C6517">
        <w:rPr>
          <w:rFonts w:ascii="Times New Roman" w:hAnsi="Times New Roman" w:cs="Times New Roman"/>
          <w:sz w:val="20"/>
          <w:szCs w:val="20"/>
        </w:rPr>
        <w:t>did not respond to caloric and volume supplementation.</w:t>
      </w:r>
      <w:r w:rsidR="002F651B" w:rsidRPr="009C6517">
        <w:rPr>
          <w:rFonts w:ascii="Times New Roman" w:hAnsi="Times New Roman" w:cs="Times New Roman"/>
          <w:sz w:val="20"/>
          <w:szCs w:val="20"/>
        </w:rPr>
        <w:t xml:space="preserve"> We first compared the demographic and clinical characteristics of infants with and without EUGR. Next, we compared the infants with EUGR prior to and after the institution of the caloric and volume supplementation protocol. Finally, we investigated the predetermined causes of EUGR within the </w:t>
      </w:r>
      <w:r w:rsidR="007F22E6" w:rsidRPr="009C6517">
        <w:rPr>
          <w:rFonts w:ascii="Times New Roman" w:hAnsi="Times New Roman" w:cs="Times New Roman"/>
          <w:sz w:val="20"/>
          <w:szCs w:val="20"/>
        </w:rPr>
        <w:t xml:space="preserve">study </w:t>
      </w:r>
      <w:r w:rsidR="002F651B" w:rsidRPr="009C6517">
        <w:rPr>
          <w:rFonts w:ascii="Times New Roman" w:hAnsi="Times New Roman" w:cs="Times New Roman"/>
          <w:sz w:val="20"/>
          <w:szCs w:val="20"/>
        </w:rPr>
        <w:t>cohort.</w:t>
      </w:r>
      <w:r w:rsidR="00C22880" w:rsidRPr="009C6517">
        <w:rPr>
          <w:rFonts w:ascii="Times New Roman" w:hAnsi="Times New Roman" w:cs="Times New Roman"/>
          <w:sz w:val="20"/>
          <w:szCs w:val="20"/>
        </w:rPr>
        <w:t xml:space="preserve"> </w:t>
      </w:r>
      <w:r w:rsidR="00E5308B" w:rsidRPr="00E634B1">
        <w:rPr>
          <w:rFonts w:ascii="Times New Roman" w:hAnsi="Times New Roman" w:cs="Times New Roman"/>
          <w:color w:val="000000" w:themeColor="text1"/>
          <w:sz w:val="20"/>
          <w:szCs w:val="20"/>
        </w:rPr>
        <w:t>The primary comparison groups were infants with growth failure before and after the targeted nutrition protocol was implemented</w:t>
      </w:r>
      <w:r w:rsidR="00E5308B">
        <w:rPr>
          <w:rFonts w:ascii="Times New Roman" w:hAnsi="Times New Roman" w:cs="Times New Roman"/>
          <w:color w:val="000000" w:themeColor="text1"/>
          <w:sz w:val="20"/>
          <w:szCs w:val="20"/>
        </w:rPr>
        <w:t xml:space="preserve">, on which extensive analysis was performed. </w:t>
      </w:r>
    </w:p>
    <w:p w14:paraId="26B71A8D" w14:textId="77777777" w:rsidR="00E5308B" w:rsidRDefault="00E5308B" w:rsidP="00747A19">
      <w:pPr>
        <w:spacing w:line="360" w:lineRule="auto"/>
        <w:rPr>
          <w:rFonts w:ascii="Times New Roman" w:hAnsi="Times New Roman" w:cs="Times New Roman"/>
          <w:b/>
          <w:bCs/>
          <w:sz w:val="20"/>
          <w:szCs w:val="20"/>
        </w:rPr>
      </w:pPr>
    </w:p>
    <w:p w14:paraId="50D5D039" w14:textId="3735D19C" w:rsidR="00041AD3" w:rsidRPr="00747A19" w:rsidRDefault="00041AD3" w:rsidP="00747A19">
      <w:pPr>
        <w:spacing w:line="360" w:lineRule="auto"/>
        <w:rPr>
          <w:rFonts w:ascii="Times New Roman" w:hAnsi="Times New Roman" w:cs="Times New Roman"/>
          <w:b/>
          <w:bCs/>
          <w:sz w:val="20"/>
          <w:szCs w:val="20"/>
        </w:rPr>
      </w:pPr>
      <w:r w:rsidRPr="00747A19">
        <w:rPr>
          <w:rFonts w:ascii="Times New Roman" w:hAnsi="Times New Roman" w:cs="Times New Roman"/>
          <w:b/>
          <w:bCs/>
          <w:sz w:val="20"/>
          <w:szCs w:val="20"/>
        </w:rPr>
        <w:t>Methods</w:t>
      </w:r>
    </w:p>
    <w:p w14:paraId="6CDA5D8C" w14:textId="4003CAC1" w:rsidR="00B540CE" w:rsidRPr="009C6517" w:rsidRDefault="00CE4681" w:rsidP="00747A19">
      <w:pPr>
        <w:spacing w:line="360" w:lineRule="auto"/>
        <w:ind w:firstLine="720"/>
        <w:rPr>
          <w:rFonts w:ascii="Times New Roman" w:hAnsi="Times New Roman" w:cs="Times New Roman"/>
          <w:sz w:val="20"/>
          <w:szCs w:val="20"/>
        </w:rPr>
      </w:pPr>
      <w:r w:rsidRPr="009C6517">
        <w:rPr>
          <w:rFonts w:ascii="Times New Roman" w:hAnsi="Times New Roman" w:cs="Times New Roman"/>
          <w:sz w:val="20"/>
          <w:szCs w:val="20"/>
        </w:rPr>
        <w:t xml:space="preserve">We conducted a retrospective chart review of all infants born at the </w:t>
      </w:r>
      <w:r w:rsidR="00C318E2" w:rsidRPr="009C6517">
        <w:rPr>
          <w:rFonts w:ascii="Times New Roman" w:hAnsi="Times New Roman" w:cs="Times New Roman"/>
          <w:sz w:val="20"/>
          <w:szCs w:val="20"/>
        </w:rPr>
        <w:t>University of Massachusetts</w:t>
      </w:r>
      <w:r w:rsidR="00EF1C64" w:rsidRPr="009C6517">
        <w:rPr>
          <w:rFonts w:ascii="Times New Roman" w:hAnsi="Times New Roman" w:cs="Times New Roman"/>
          <w:sz w:val="20"/>
          <w:szCs w:val="20"/>
        </w:rPr>
        <w:t xml:space="preserve"> </w:t>
      </w:r>
      <w:r w:rsidRPr="009C6517">
        <w:rPr>
          <w:rFonts w:ascii="Times New Roman" w:hAnsi="Times New Roman" w:cs="Times New Roman"/>
          <w:sz w:val="20"/>
          <w:szCs w:val="20"/>
        </w:rPr>
        <w:t xml:space="preserve">level III </w:t>
      </w:r>
      <w:r w:rsidR="00B5646E" w:rsidRPr="009C6517">
        <w:rPr>
          <w:rFonts w:ascii="Times New Roman" w:hAnsi="Times New Roman" w:cs="Times New Roman"/>
          <w:sz w:val="20"/>
          <w:szCs w:val="20"/>
        </w:rPr>
        <w:t>NICU</w:t>
      </w:r>
      <w:r w:rsidR="00C318E2" w:rsidRPr="009C6517">
        <w:rPr>
          <w:rFonts w:ascii="Times New Roman" w:hAnsi="Times New Roman" w:cs="Times New Roman"/>
          <w:sz w:val="20"/>
          <w:szCs w:val="20"/>
        </w:rPr>
        <w:t xml:space="preserve"> </w:t>
      </w:r>
      <w:r w:rsidRPr="009C6517">
        <w:rPr>
          <w:rFonts w:ascii="Times New Roman" w:hAnsi="Times New Roman" w:cs="Times New Roman"/>
          <w:sz w:val="20"/>
          <w:szCs w:val="20"/>
        </w:rPr>
        <w:t xml:space="preserve">from January 2016 to </w:t>
      </w:r>
      <w:r w:rsidR="00AA48EA" w:rsidRPr="009C6517">
        <w:rPr>
          <w:rFonts w:ascii="Times New Roman" w:hAnsi="Times New Roman" w:cs="Times New Roman"/>
          <w:sz w:val="20"/>
          <w:szCs w:val="20"/>
        </w:rPr>
        <w:t xml:space="preserve">June </w:t>
      </w:r>
      <w:r w:rsidR="000B4DD1" w:rsidRPr="009C6517">
        <w:rPr>
          <w:rFonts w:ascii="Times New Roman" w:hAnsi="Times New Roman" w:cs="Times New Roman"/>
          <w:sz w:val="20"/>
          <w:szCs w:val="20"/>
        </w:rPr>
        <w:t>2020</w:t>
      </w:r>
      <w:r w:rsidRPr="009C6517">
        <w:rPr>
          <w:rFonts w:ascii="Times New Roman" w:hAnsi="Times New Roman" w:cs="Times New Roman"/>
          <w:sz w:val="20"/>
          <w:szCs w:val="20"/>
        </w:rPr>
        <w:t xml:space="preserve">. </w:t>
      </w:r>
      <w:r w:rsidR="00DC02F3" w:rsidRPr="009C6517">
        <w:rPr>
          <w:rFonts w:ascii="Times New Roman" w:hAnsi="Times New Roman" w:cs="Times New Roman"/>
          <w:sz w:val="20"/>
          <w:szCs w:val="20"/>
        </w:rPr>
        <w:t xml:space="preserve">Inclusion criteria </w:t>
      </w:r>
      <w:r w:rsidR="00667D7D" w:rsidRPr="009C6517">
        <w:rPr>
          <w:rFonts w:ascii="Times New Roman" w:hAnsi="Times New Roman" w:cs="Times New Roman"/>
          <w:sz w:val="20"/>
          <w:szCs w:val="20"/>
        </w:rPr>
        <w:t>w</w:t>
      </w:r>
      <w:r w:rsidR="006A5168" w:rsidRPr="009C6517">
        <w:rPr>
          <w:rFonts w:ascii="Times New Roman" w:hAnsi="Times New Roman" w:cs="Times New Roman"/>
          <w:sz w:val="20"/>
          <w:szCs w:val="20"/>
        </w:rPr>
        <w:t>ere</w:t>
      </w:r>
      <w:r w:rsidR="00DC02F3" w:rsidRPr="009C6517">
        <w:rPr>
          <w:rFonts w:ascii="Times New Roman" w:hAnsi="Times New Roman" w:cs="Times New Roman"/>
          <w:sz w:val="20"/>
          <w:szCs w:val="20"/>
        </w:rPr>
        <w:t xml:space="preserve"> infant</w:t>
      </w:r>
      <w:r w:rsidR="00930FD3" w:rsidRPr="009C6517">
        <w:rPr>
          <w:rFonts w:ascii="Times New Roman" w:hAnsi="Times New Roman" w:cs="Times New Roman"/>
          <w:sz w:val="20"/>
          <w:szCs w:val="20"/>
        </w:rPr>
        <w:t>s</w:t>
      </w:r>
      <w:r w:rsidR="00DC02F3" w:rsidRPr="009C6517">
        <w:rPr>
          <w:rFonts w:ascii="Times New Roman" w:hAnsi="Times New Roman" w:cs="Times New Roman"/>
          <w:sz w:val="20"/>
          <w:szCs w:val="20"/>
        </w:rPr>
        <w:t xml:space="preserve"> born </w:t>
      </w:r>
      <w:r w:rsidR="00AA48EA" w:rsidRPr="009C6517">
        <w:rPr>
          <w:rFonts w:ascii="Times New Roman" w:hAnsi="Times New Roman" w:cs="Times New Roman"/>
          <w:sz w:val="20"/>
          <w:szCs w:val="20"/>
        </w:rPr>
        <w:t xml:space="preserve">either </w:t>
      </w:r>
      <w:r w:rsidR="00B5646E" w:rsidRPr="009C6517">
        <w:rPr>
          <w:rFonts w:ascii="Times New Roman" w:hAnsi="Times New Roman" w:cs="Times New Roman"/>
          <w:sz w:val="20"/>
          <w:szCs w:val="20"/>
        </w:rPr>
        <w:t>appropriate for gestational age (</w:t>
      </w:r>
      <w:r w:rsidR="007A5651" w:rsidRPr="009C6517">
        <w:rPr>
          <w:rFonts w:ascii="Times New Roman" w:hAnsi="Times New Roman" w:cs="Times New Roman"/>
          <w:sz w:val="20"/>
          <w:szCs w:val="20"/>
        </w:rPr>
        <w:t>AGA</w:t>
      </w:r>
      <w:r w:rsidR="00B5646E" w:rsidRPr="009C6517">
        <w:rPr>
          <w:rFonts w:ascii="Times New Roman" w:hAnsi="Times New Roman" w:cs="Times New Roman"/>
          <w:sz w:val="20"/>
          <w:szCs w:val="20"/>
        </w:rPr>
        <w:t>)</w:t>
      </w:r>
      <w:r w:rsidR="00AA48EA" w:rsidRPr="009C6517">
        <w:rPr>
          <w:rFonts w:ascii="Times New Roman" w:hAnsi="Times New Roman" w:cs="Times New Roman"/>
          <w:sz w:val="20"/>
          <w:szCs w:val="20"/>
        </w:rPr>
        <w:t xml:space="preserve"> or </w:t>
      </w:r>
      <w:r w:rsidR="00B5646E" w:rsidRPr="009C6517">
        <w:rPr>
          <w:rFonts w:ascii="Times New Roman" w:hAnsi="Times New Roman" w:cs="Times New Roman"/>
          <w:sz w:val="20"/>
          <w:szCs w:val="20"/>
        </w:rPr>
        <w:t>large for gestational age (</w:t>
      </w:r>
      <w:r w:rsidR="00AA48EA" w:rsidRPr="009C6517">
        <w:rPr>
          <w:rFonts w:ascii="Times New Roman" w:hAnsi="Times New Roman" w:cs="Times New Roman"/>
          <w:sz w:val="20"/>
          <w:szCs w:val="20"/>
        </w:rPr>
        <w:t>LGA</w:t>
      </w:r>
      <w:r w:rsidR="00B5646E" w:rsidRPr="009C6517">
        <w:rPr>
          <w:rFonts w:ascii="Times New Roman" w:hAnsi="Times New Roman" w:cs="Times New Roman"/>
          <w:sz w:val="20"/>
          <w:szCs w:val="20"/>
        </w:rPr>
        <w:t>)</w:t>
      </w:r>
      <w:r w:rsidR="00AA48EA" w:rsidRPr="009C6517">
        <w:rPr>
          <w:rFonts w:ascii="Times New Roman" w:hAnsi="Times New Roman" w:cs="Times New Roman"/>
          <w:sz w:val="20"/>
          <w:szCs w:val="20"/>
        </w:rPr>
        <w:t xml:space="preserve"> </w:t>
      </w:r>
      <w:r w:rsidR="00DC02F3" w:rsidRPr="009C6517">
        <w:rPr>
          <w:rFonts w:ascii="Times New Roman" w:hAnsi="Times New Roman" w:cs="Times New Roman"/>
          <w:sz w:val="20"/>
          <w:szCs w:val="20"/>
        </w:rPr>
        <w:t xml:space="preserve">at </w:t>
      </w:r>
      <w:r w:rsidR="00EF1C64" w:rsidRPr="009C6517">
        <w:rPr>
          <w:rFonts w:ascii="Times New Roman" w:hAnsi="Times New Roman" w:cs="Times New Roman"/>
          <w:sz w:val="20"/>
          <w:szCs w:val="20"/>
        </w:rPr>
        <w:t xml:space="preserve">this </w:t>
      </w:r>
      <w:r w:rsidR="00DC02F3" w:rsidRPr="009C6517">
        <w:rPr>
          <w:rFonts w:ascii="Times New Roman" w:hAnsi="Times New Roman" w:cs="Times New Roman"/>
          <w:sz w:val="20"/>
          <w:szCs w:val="20"/>
        </w:rPr>
        <w:t xml:space="preserve">NICU </w:t>
      </w:r>
      <w:r w:rsidR="006E1223" w:rsidRPr="009C6517">
        <w:rPr>
          <w:rFonts w:ascii="Times New Roman" w:hAnsi="Times New Roman" w:cs="Times New Roman"/>
          <w:sz w:val="20"/>
          <w:szCs w:val="20"/>
        </w:rPr>
        <w:t xml:space="preserve">and </w:t>
      </w:r>
      <w:r w:rsidR="000B4DD1" w:rsidRPr="009C6517">
        <w:rPr>
          <w:rFonts w:ascii="Times New Roman" w:hAnsi="Times New Roman" w:cs="Times New Roman"/>
          <w:sz w:val="20"/>
          <w:szCs w:val="20"/>
        </w:rPr>
        <w:t>≤</w:t>
      </w:r>
      <w:r w:rsidR="00DC68D4" w:rsidRPr="009C6517">
        <w:rPr>
          <w:rFonts w:ascii="Times New Roman" w:hAnsi="Times New Roman" w:cs="Times New Roman"/>
          <w:sz w:val="20"/>
          <w:szCs w:val="20"/>
        </w:rPr>
        <w:t xml:space="preserve"> </w:t>
      </w:r>
      <w:r w:rsidR="00DC02F3" w:rsidRPr="009C6517">
        <w:rPr>
          <w:rFonts w:ascii="Times New Roman" w:hAnsi="Times New Roman" w:cs="Times New Roman"/>
          <w:sz w:val="20"/>
          <w:szCs w:val="20"/>
        </w:rPr>
        <w:t xml:space="preserve">32 </w:t>
      </w:r>
      <w:r w:rsidR="00DC68D4" w:rsidRPr="009C6517">
        <w:rPr>
          <w:rFonts w:ascii="Times New Roman" w:hAnsi="Times New Roman" w:cs="Times New Roman"/>
          <w:sz w:val="20"/>
          <w:szCs w:val="20"/>
        </w:rPr>
        <w:t xml:space="preserve">0/7 </w:t>
      </w:r>
      <w:r w:rsidR="00DC02F3" w:rsidRPr="009C6517">
        <w:rPr>
          <w:rFonts w:ascii="Times New Roman" w:hAnsi="Times New Roman" w:cs="Times New Roman"/>
          <w:sz w:val="20"/>
          <w:szCs w:val="20"/>
        </w:rPr>
        <w:t xml:space="preserve">weeks gestational age. </w:t>
      </w:r>
      <w:r w:rsidR="00930FD3" w:rsidRPr="009C6517">
        <w:rPr>
          <w:rFonts w:ascii="Times New Roman" w:hAnsi="Times New Roman" w:cs="Times New Roman"/>
          <w:sz w:val="20"/>
          <w:szCs w:val="20"/>
        </w:rPr>
        <w:t>Any</w:t>
      </w:r>
      <w:r w:rsidRPr="009C6517">
        <w:rPr>
          <w:rFonts w:ascii="Times New Roman" w:hAnsi="Times New Roman" w:cs="Times New Roman"/>
          <w:sz w:val="20"/>
          <w:szCs w:val="20"/>
        </w:rPr>
        <w:t xml:space="preserve"> </w:t>
      </w:r>
      <w:r w:rsidR="00856C3E" w:rsidRPr="009C6517">
        <w:rPr>
          <w:rFonts w:ascii="Times New Roman" w:hAnsi="Times New Roman" w:cs="Times New Roman"/>
          <w:sz w:val="20"/>
          <w:szCs w:val="20"/>
        </w:rPr>
        <w:t>infants</w:t>
      </w:r>
      <w:r w:rsidRPr="009C6517">
        <w:rPr>
          <w:rFonts w:ascii="Times New Roman" w:hAnsi="Times New Roman" w:cs="Times New Roman"/>
          <w:sz w:val="20"/>
          <w:szCs w:val="20"/>
        </w:rPr>
        <w:t xml:space="preserve"> </w:t>
      </w:r>
      <w:r w:rsidR="00BF5379" w:rsidRPr="009C6517">
        <w:rPr>
          <w:rFonts w:ascii="Times New Roman" w:hAnsi="Times New Roman" w:cs="Times New Roman"/>
          <w:sz w:val="20"/>
          <w:szCs w:val="20"/>
        </w:rPr>
        <w:t>born SGA (</w:t>
      </w:r>
      <w:r w:rsidR="00FB6D4E" w:rsidRPr="009C6517">
        <w:rPr>
          <w:rFonts w:ascii="Times New Roman" w:hAnsi="Times New Roman" w:cs="Times New Roman"/>
          <w:sz w:val="20"/>
          <w:szCs w:val="20"/>
        </w:rPr>
        <w:t xml:space="preserve">defined </w:t>
      </w:r>
      <w:r w:rsidR="007A5651" w:rsidRPr="009C6517">
        <w:rPr>
          <w:rFonts w:ascii="Times New Roman" w:hAnsi="Times New Roman" w:cs="Times New Roman"/>
          <w:sz w:val="20"/>
          <w:szCs w:val="20"/>
        </w:rPr>
        <w:t xml:space="preserve">as </w:t>
      </w:r>
      <w:r w:rsidRPr="009C6517">
        <w:rPr>
          <w:rFonts w:ascii="Times New Roman" w:hAnsi="Times New Roman" w:cs="Times New Roman"/>
          <w:sz w:val="20"/>
          <w:szCs w:val="20"/>
        </w:rPr>
        <w:t>&lt;10</w:t>
      </w:r>
      <w:r w:rsidRPr="009C6517">
        <w:rPr>
          <w:rFonts w:ascii="Times New Roman" w:hAnsi="Times New Roman" w:cs="Times New Roman"/>
          <w:sz w:val="20"/>
          <w:szCs w:val="20"/>
          <w:vertAlign w:val="superscript"/>
        </w:rPr>
        <w:t>th</w:t>
      </w:r>
      <w:r w:rsidRPr="009C6517">
        <w:rPr>
          <w:rFonts w:ascii="Times New Roman" w:hAnsi="Times New Roman" w:cs="Times New Roman"/>
          <w:sz w:val="20"/>
          <w:szCs w:val="20"/>
        </w:rPr>
        <w:t xml:space="preserve"> percentile </w:t>
      </w:r>
      <w:r w:rsidR="007A5651" w:rsidRPr="009C6517">
        <w:rPr>
          <w:rFonts w:ascii="Times New Roman" w:hAnsi="Times New Roman" w:cs="Times New Roman"/>
          <w:sz w:val="20"/>
          <w:szCs w:val="20"/>
        </w:rPr>
        <w:t xml:space="preserve">on </w:t>
      </w:r>
      <w:r w:rsidRPr="009C6517">
        <w:rPr>
          <w:rFonts w:ascii="Times New Roman" w:hAnsi="Times New Roman" w:cs="Times New Roman"/>
          <w:sz w:val="20"/>
          <w:szCs w:val="20"/>
        </w:rPr>
        <w:t>the Fenton growth curve</w:t>
      </w:r>
      <w:r w:rsidR="002F651B" w:rsidRPr="009C6517">
        <w:rPr>
          <w:rFonts w:ascii="Times New Roman" w:hAnsi="Times New Roman" w:cs="Times New Roman"/>
          <w:sz w:val="20"/>
          <w:szCs w:val="20"/>
        </w:rPr>
        <w:t xml:space="preserve"> (16)</w:t>
      </w:r>
      <w:r w:rsidR="00BF5379" w:rsidRPr="009C6517">
        <w:rPr>
          <w:rFonts w:ascii="Times New Roman" w:hAnsi="Times New Roman" w:cs="Times New Roman"/>
          <w:sz w:val="20"/>
          <w:szCs w:val="20"/>
        </w:rPr>
        <w:t>)</w:t>
      </w:r>
      <w:r w:rsidRPr="009C6517">
        <w:rPr>
          <w:rFonts w:ascii="Times New Roman" w:hAnsi="Times New Roman" w:cs="Times New Roman"/>
          <w:sz w:val="20"/>
          <w:szCs w:val="20"/>
        </w:rPr>
        <w:t xml:space="preserve">, infants born with congenital anomalies, infants who did not follow nutritional protocol guidelines due to other clinical concerns, infants whose nutrition and growth parameters were not available due to lack of documentation, infants who received </w:t>
      </w:r>
      <w:proofErr w:type="gramStart"/>
      <w:r w:rsidRPr="009C6517">
        <w:rPr>
          <w:rFonts w:ascii="Times New Roman" w:hAnsi="Times New Roman" w:cs="Times New Roman"/>
          <w:sz w:val="20"/>
          <w:szCs w:val="20"/>
        </w:rPr>
        <w:t>the majority of</w:t>
      </w:r>
      <w:proofErr w:type="gramEnd"/>
      <w:r w:rsidRPr="009C6517">
        <w:rPr>
          <w:rFonts w:ascii="Times New Roman" w:hAnsi="Times New Roman" w:cs="Times New Roman"/>
          <w:sz w:val="20"/>
          <w:szCs w:val="20"/>
        </w:rPr>
        <w:t xml:space="preserve"> their care and nutrition at outside institutions</w:t>
      </w:r>
      <w:r w:rsidR="00FB6D4E" w:rsidRPr="009C6517">
        <w:rPr>
          <w:rFonts w:ascii="Times New Roman" w:hAnsi="Times New Roman" w:cs="Times New Roman"/>
          <w:sz w:val="20"/>
          <w:szCs w:val="20"/>
        </w:rPr>
        <w:t>,</w:t>
      </w:r>
      <w:r w:rsidRPr="009C6517">
        <w:rPr>
          <w:rFonts w:ascii="Times New Roman" w:hAnsi="Times New Roman" w:cs="Times New Roman"/>
          <w:sz w:val="20"/>
          <w:szCs w:val="20"/>
        </w:rPr>
        <w:t xml:space="preserve"> or </w:t>
      </w:r>
      <w:r w:rsidR="00FB6D4E" w:rsidRPr="009C6517">
        <w:rPr>
          <w:rFonts w:ascii="Times New Roman" w:hAnsi="Times New Roman" w:cs="Times New Roman"/>
          <w:sz w:val="20"/>
          <w:szCs w:val="20"/>
        </w:rPr>
        <w:t>infants who</w:t>
      </w:r>
      <w:r w:rsidRPr="009C6517">
        <w:rPr>
          <w:rFonts w:ascii="Times New Roman" w:hAnsi="Times New Roman" w:cs="Times New Roman"/>
          <w:sz w:val="20"/>
          <w:szCs w:val="20"/>
        </w:rPr>
        <w:t xml:space="preserve"> </w:t>
      </w:r>
      <w:r w:rsidR="00EF1C64" w:rsidRPr="009C6517">
        <w:rPr>
          <w:rFonts w:ascii="Times New Roman" w:hAnsi="Times New Roman" w:cs="Times New Roman"/>
          <w:sz w:val="20"/>
          <w:szCs w:val="20"/>
        </w:rPr>
        <w:t>died</w:t>
      </w:r>
      <w:r w:rsidRPr="009C6517">
        <w:rPr>
          <w:rFonts w:ascii="Times New Roman" w:hAnsi="Times New Roman" w:cs="Times New Roman"/>
          <w:sz w:val="20"/>
          <w:szCs w:val="20"/>
        </w:rPr>
        <w:t xml:space="preserve"> prior to discharge</w:t>
      </w:r>
      <w:r w:rsidR="00930FD3" w:rsidRPr="009C6517">
        <w:rPr>
          <w:rFonts w:ascii="Times New Roman" w:hAnsi="Times New Roman" w:cs="Times New Roman"/>
          <w:sz w:val="20"/>
          <w:szCs w:val="20"/>
        </w:rPr>
        <w:t xml:space="preserve"> were excluded</w:t>
      </w:r>
      <w:r w:rsidRPr="009C6517">
        <w:rPr>
          <w:rFonts w:ascii="Times New Roman" w:hAnsi="Times New Roman" w:cs="Times New Roman"/>
          <w:sz w:val="20"/>
          <w:szCs w:val="20"/>
        </w:rPr>
        <w:t xml:space="preserve">. </w:t>
      </w:r>
    </w:p>
    <w:p w14:paraId="5F041E2D" w14:textId="3807478C" w:rsidR="00EF1C64" w:rsidRPr="009C6517" w:rsidRDefault="00930FD3" w:rsidP="00747A19">
      <w:pPr>
        <w:spacing w:line="360" w:lineRule="auto"/>
        <w:ind w:firstLine="720"/>
        <w:rPr>
          <w:rFonts w:ascii="Times New Roman" w:hAnsi="Times New Roman" w:cs="Times New Roman"/>
          <w:sz w:val="20"/>
          <w:szCs w:val="20"/>
        </w:rPr>
      </w:pPr>
      <w:r w:rsidRPr="009C6517">
        <w:rPr>
          <w:rFonts w:ascii="Times New Roman" w:hAnsi="Times New Roman" w:cs="Times New Roman"/>
          <w:sz w:val="20"/>
          <w:szCs w:val="20"/>
        </w:rPr>
        <w:t xml:space="preserve">Data </w:t>
      </w:r>
      <w:r w:rsidR="006E1223" w:rsidRPr="009C6517">
        <w:rPr>
          <w:rFonts w:ascii="Times New Roman" w:hAnsi="Times New Roman" w:cs="Times New Roman"/>
          <w:sz w:val="20"/>
          <w:szCs w:val="20"/>
        </w:rPr>
        <w:t>w</w:t>
      </w:r>
      <w:r w:rsidR="007F22E6" w:rsidRPr="009C6517">
        <w:rPr>
          <w:rFonts w:ascii="Times New Roman" w:hAnsi="Times New Roman" w:cs="Times New Roman"/>
          <w:sz w:val="20"/>
          <w:szCs w:val="20"/>
        </w:rPr>
        <w:t>ere</w:t>
      </w:r>
      <w:r w:rsidR="006E1223" w:rsidRPr="009C6517">
        <w:rPr>
          <w:rFonts w:ascii="Times New Roman" w:hAnsi="Times New Roman" w:cs="Times New Roman"/>
          <w:sz w:val="20"/>
          <w:szCs w:val="20"/>
        </w:rPr>
        <w:t xml:space="preserve"> </w:t>
      </w:r>
      <w:r w:rsidRPr="009C6517">
        <w:rPr>
          <w:rFonts w:ascii="Times New Roman" w:hAnsi="Times New Roman" w:cs="Times New Roman"/>
          <w:sz w:val="20"/>
          <w:szCs w:val="20"/>
        </w:rPr>
        <w:t>extracted from the electronic medical record (EMR) and stored on a secure server. Data collected included demographic</w:t>
      </w:r>
      <w:r w:rsidR="007A5651" w:rsidRPr="009C6517">
        <w:rPr>
          <w:rFonts w:ascii="Times New Roman" w:hAnsi="Times New Roman" w:cs="Times New Roman"/>
          <w:sz w:val="20"/>
          <w:szCs w:val="20"/>
        </w:rPr>
        <w:t xml:space="preserve"> and </w:t>
      </w:r>
      <w:r w:rsidRPr="009C6517">
        <w:rPr>
          <w:rFonts w:ascii="Times New Roman" w:hAnsi="Times New Roman" w:cs="Times New Roman"/>
          <w:sz w:val="20"/>
          <w:szCs w:val="20"/>
        </w:rPr>
        <w:t>anthropometric</w:t>
      </w:r>
      <w:r w:rsidR="007A5651" w:rsidRPr="009C6517">
        <w:rPr>
          <w:rFonts w:ascii="Times New Roman" w:hAnsi="Times New Roman" w:cs="Times New Roman"/>
          <w:sz w:val="20"/>
          <w:szCs w:val="20"/>
        </w:rPr>
        <w:t xml:space="preserve"> </w:t>
      </w:r>
      <w:r w:rsidR="006E1223" w:rsidRPr="009C6517">
        <w:rPr>
          <w:rFonts w:ascii="Times New Roman" w:hAnsi="Times New Roman" w:cs="Times New Roman"/>
          <w:sz w:val="20"/>
          <w:szCs w:val="20"/>
        </w:rPr>
        <w:t>characteristics</w:t>
      </w:r>
      <w:r w:rsidRPr="009C6517">
        <w:rPr>
          <w:rFonts w:ascii="Times New Roman" w:hAnsi="Times New Roman" w:cs="Times New Roman"/>
          <w:sz w:val="20"/>
          <w:szCs w:val="20"/>
        </w:rPr>
        <w:t xml:space="preserve">, dietary intake, laboratory values, </w:t>
      </w:r>
      <w:r w:rsidR="007A5651" w:rsidRPr="009C6517">
        <w:rPr>
          <w:rFonts w:ascii="Times New Roman" w:hAnsi="Times New Roman" w:cs="Times New Roman"/>
          <w:sz w:val="20"/>
          <w:szCs w:val="20"/>
        </w:rPr>
        <w:t xml:space="preserve">hospital </w:t>
      </w:r>
      <w:r w:rsidRPr="009C6517">
        <w:rPr>
          <w:rFonts w:ascii="Times New Roman" w:hAnsi="Times New Roman" w:cs="Times New Roman"/>
          <w:sz w:val="20"/>
          <w:szCs w:val="20"/>
        </w:rPr>
        <w:t xml:space="preserve">length of stay, and illness severity. Maternal data extracted from the EMR included </w:t>
      </w:r>
      <w:r w:rsidR="007F22E6" w:rsidRPr="009C6517">
        <w:rPr>
          <w:rFonts w:ascii="Times New Roman" w:hAnsi="Times New Roman" w:cs="Times New Roman"/>
          <w:sz w:val="20"/>
          <w:szCs w:val="20"/>
        </w:rPr>
        <w:t xml:space="preserve">maternal </w:t>
      </w:r>
      <w:r w:rsidRPr="009C6517">
        <w:rPr>
          <w:rFonts w:ascii="Times New Roman" w:hAnsi="Times New Roman" w:cs="Times New Roman"/>
          <w:sz w:val="20"/>
          <w:szCs w:val="20"/>
        </w:rPr>
        <w:t>parity,</w:t>
      </w:r>
      <w:r w:rsidR="007F22E6" w:rsidRPr="009C6517">
        <w:rPr>
          <w:rFonts w:ascii="Times New Roman" w:hAnsi="Times New Roman" w:cs="Times New Roman"/>
          <w:sz w:val="20"/>
          <w:szCs w:val="20"/>
        </w:rPr>
        <w:t xml:space="preserve"> </w:t>
      </w:r>
      <w:r w:rsidRPr="009C6517">
        <w:rPr>
          <w:rFonts w:ascii="Times New Roman" w:hAnsi="Times New Roman" w:cs="Times New Roman"/>
          <w:sz w:val="20"/>
          <w:szCs w:val="20"/>
        </w:rPr>
        <w:t>age</w:t>
      </w:r>
      <w:r w:rsidR="0037536F" w:rsidRPr="009C6517">
        <w:rPr>
          <w:rFonts w:ascii="Times New Roman" w:hAnsi="Times New Roman" w:cs="Times New Roman"/>
          <w:sz w:val="20"/>
          <w:szCs w:val="20"/>
        </w:rPr>
        <w:t>,</w:t>
      </w:r>
      <w:r w:rsidRPr="009C6517">
        <w:rPr>
          <w:rFonts w:ascii="Times New Roman" w:hAnsi="Times New Roman" w:cs="Times New Roman"/>
          <w:sz w:val="20"/>
          <w:szCs w:val="20"/>
        </w:rPr>
        <w:t xml:space="preserve"> and </w:t>
      </w:r>
      <w:r w:rsidR="0037536F" w:rsidRPr="009C6517">
        <w:rPr>
          <w:rFonts w:ascii="Times New Roman" w:hAnsi="Times New Roman" w:cs="Times New Roman"/>
          <w:sz w:val="20"/>
          <w:szCs w:val="20"/>
        </w:rPr>
        <w:t xml:space="preserve">mode </w:t>
      </w:r>
      <w:r w:rsidRPr="009C6517">
        <w:rPr>
          <w:rFonts w:ascii="Times New Roman" w:hAnsi="Times New Roman" w:cs="Times New Roman"/>
          <w:sz w:val="20"/>
          <w:szCs w:val="20"/>
        </w:rPr>
        <w:t xml:space="preserve">of delivery.  </w:t>
      </w:r>
    </w:p>
    <w:p w14:paraId="7C81D12E" w14:textId="1D34D6E8" w:rsidR="003357E7" w:rsidRPr="009C6517" w:rsidRDefault="00097233" w:rsidP="00747A19">
      <w:pPr>
        <w:spacing w:line="360" w:lineRule="auto"/>
        <w:ind w:firstLine="720"/>
        <w:rPr>
          <w:rFonts w:ascii="Times New Roman" w:hAnsi="Times New Roman" w:cs="Times New Roman"/>
          <w:sz w:val="20"/>
          <w:szCs w:val="20"/>
        </w:rPr>
      </w:pPr>
      <w:r w:rsidRPr="009C6517">
        <w:rPr>
          <w:rFonts w:ascii="Times New Roman" w:hAnsi="Times New Roman" w:cs="Times New Roman"/>
          <w:sz w:val="20"/>
          <w:szCs w:val="20"/>
        </w:rPr>
        <w:t xml:space="preserve">Growth was tracked using </w:t>
      </w:r>
      <w:proofErr w:type="spellStart"/>
      <w:r w:rsidRPr="009C6517">
        <w:rPr>
          <w:rFonts w:ascii="Times New Roman" w:hAnsi="Times New Roman" w:cs="Times New Roman"/>
          <w:sz w:val="20"/>
          <w:szCs w:val="20"/>
        </w:rPr>
        <w:t>PediTools</w:t>
      </w:r>
      <w:proofErr w:type="spellEnd"/>
      <w:r w:rsidR="00930FD3" w:rsidRPr="009C6517">
        <w:rPr>
          <w:rFonts w:ascii="Times New Roman" w:hAnsi="Times New Roman" w:cs="Times New Roman"/>
          <w:sz w:val="20"/>
          <w:szCs w:val="20"/>
        </w:rPr>
        <w:t xml:space="preserve"> electronic gestational age and growth calculators</w:t>
      </w:r>
      <w:r w:rsidRPr="009C6517">
        <w:rPr>
          <w:rFonts w:ascii="Times New Roman" w:hAnsi="Times New Roman" w:cs="Times New Roman"/>
          <w:sz w:val="20"/>
          <w:szCs w:val="20"/>
        </w:rPr>
        <w:t>. (</w:t>
      </w:r>
      <w:r w:rsidR="00B179A7" w:rsidRPr="009C6517">
        <w:rPr>
          <w:rFonts w:ascii="Times New Roman" w:hAnsi="Times New Roman" w:cs="Times New Roman"/>
          <w:sz w:val="20"/>
          <w:szCs w:val="20"/>
        </w:rPr>
        <w:t>1</w:t>
      </w:r>
      <w:r w:rsidR="00930FD3" w:rsidRPr="009C6517">
        <w:rPr>
          <w:rFonts w:ascii="Times New Roman" w:hAnsi="Times New Roman" w:cs="Times New Roman"/>
          <w:sz w:val="20"/>
          <w:szCs w:val="20"/>
        </w:rPr>
        <w:t>7</w:t>
      </w:r>
      <w:r w:rsidRPr="009C6517">
        <w:rPr>
          <w:rFonts w:ascii="Times New Roman" w:hAnsi="Times New Roman" w:cs="Times New Roman"/>
          <w:sz w:val="20"/>
          <w:szCs w:val="20"/>
        </w:rPr>
        <w:t>)</w:t>
      </w:r>
      <w:r w:rsidR="007A5651" w:rsidRPr="009C6517">
        <w:rPr>
          <w:rFonts w:ascii="Times New Roman" w:hAnsi="Times New Roman" w:cs="Times New Roman"/>
          <w:sz w:val="20"/>
          <w:szCs w:val="20"/>
        </w:rPr>
        <w:t xml:space="preserve"> We reviewed the EMRs of</w:t>
      </w:r>
      <w:r w:rsidR="00AA48EA" w:rsidRPr="009C6517">
        <w:rPr>
          <w:rFonts w:ascii="Times New Roman" w:hAnsi="Times New Roman" w:cs="Times New Roman"/>
          <w:sz w:val="20"/>
          <w:szCs w:val="20"/>
        </w:rPr>
        <w:t xml:space="preserve"> </w:t>
      </w:r>
      <w:r w:rsidR="007A5651" w:rsidRPr="009C6517">
        <w:rPr>
          <w:rFonts w:ascii="Times New Roman" w:hAnsi="Times New Roman" w:cs="Times New Roman"/>
          <w:sz w:val="20"/>
          <w:szCs w:val="20"/>
        </w:rPr>
        <w:t>i</w:t>
      </w:r>
      <w:r w:rsidR="00AA48EA" w:rsidRPr="009C6517">
        <w:rPr>
          <w:rFonts w:ascii="Times New Roman" w:hAnsi="Times New Roman" w:cs="Times New Roman"/>
          <w:sz w:val="20"/>
          <w:szCs w:val="20"/>
        </w:rPr>
        <w:t xml:space="preserve">nfants who met the criteria for EUGR </w:t>
      </w:r>
      <w:r w:rsidR="00990412" w:rsidRPr="009C6517">
        <w:rPr>
          <w:rFonts w:ascii="Times New Roman" w:hAnsi="Times New Roman" w:cs="Times New Roman"/>
          <w:sz w:val="20"/>
          <w:szCs w:val="20"/>
        </w:rPr>
        <w:t xml:space="preserve">at </w:t>
      </w:r>
      <w:r w:rsidR="007F22E6" w:rsidRPr="009C6517">
        <w:rPr>
          <w:rFonts w:ascii="Times New Roman" w:hAnsi="Times New Roman" w:cs="Times New Roman"/>
          <w:sz w:val="20"/>
          <w:szCs w:val="20"/>
        </w:rPr>
        <w:t xml:space="preserve">the time of hospital </w:t>
      </w:r>
      <w:r w:rsidR="00990412" w:rsidRPr="009C6517">
        <w:rPr>
          <w:rFonts w:ascii="Times New Roman" w:hAnsi="Times New Roman" w:cs="Times New Roman"/>
          <w:sz w:val="20"/>
          <w:szCs w:val="20"/>
        </w:rPr>
        <w:t xml:space="preserve">discharge </w:t>
      </w:r>
      <w:r w:rsidR="00930FD3" w:rsidRPr="009C6517">
        <w:rPr>
          <w:rFonts w:ascii="Times New Roman" w:hAnsi="Times New Roman" w:cs="Times New Roman"/>
          <w:sz w:val="20"/>
          <w:szCs w:val="20"/>
        </w:rPr>
        <w:t xml:space="preserve">for </w:t>
      </w:r>
      <w:r w:rsidR="00B10799" w:rsidRPr="009C6517">
        <w:rPr>
          <w:rFonts w:ascii="Times New Roman" w:hAnsi="Times New Roman" w:cs="Times New Roman"/>
          <w:sz w:val="20"/>
          <w:szCs w:val="20"/>
        </w:rPr>
        <w:t xml:space="preserve">a variety of </w:t>
      </w:r>
      <w:r w:rsidR="00930FD3" w:rsidRPr="009C6517">
        <w:rPr>
          <w:rFonts w:ascii="Times New Roman" w:hAnsi="Times New Roman" w:cs="Times New Roman"/>
          <w:sz w:val="20"/>
          <w:szCs w:val="20"/>
        </w:rPr>
        <w:t xml:space="preserve">potential factors affecting growth, including delayed return to birthweight, timing of growth failure, hyponatremia, and </w:t>
      </w:r>
      <w:r w:rsidR="0037536F" w:rsidRPr="009C6517">
        <w:rPr>
          <w:rFonts w:ascii="Times New Roman" w:hAnsi="Times New Roman" w:cs="Times New Roman"/>
          <w:sz w:val="20"/>
          <w:szCs w:val="20"/>
        </w:rPr>
        <w:t>NEC.</w:t>
      </w:r>
      <w:r w:rsidR="00930FD3" w:rsidRPr="009C6517">
        <w:rPr>
          <w:rFonts w:ascii="Times New Roman" w:hAnsi="Times New Roman" w:cs="Times New Roman"/>
          <w:sz w:val="20"/>
          <w:szCs w:val="20"/>
        </w:rPr>
        <w:t xml:space="preserve"> Delayed return to birthweight was defined as infant weight below birthweight at 10 days </w:t>
      </w:r>
      <w:r w:rsidR="00B10799" w:rsidRPr="009C6517">
        <w:rPr>
          <w:rFonts w:ascii="Times New Roman" w:hAnsi="Times New Roman" w:cs="Times New Roman"/>
          <w:sz w:val="20"/>
          <w:szCs w:val="20"/>
        </w:rPr>
        <w:t>of</w:t>
      </w:r>
      <w:r w:rsidR="00930FD3" w:rsidRPr="009C6517">
        <w:rPr>
          <w:rFonts w:ascii="Times New Roman" w:hAnsi="Times New Roman" w:cs="Times New Roman"/>
          <w:sz w:val="20"/>
          <w:szCs w:val="20"/>
        </w:rPr>
        <w:t xml:space="preserve"> life. NEC was defined as the presence of bloody stools or clinical signs requiring antibiotic treatment for 7 days or more. Hypon</w:t>
      </w:r>
      <w:r w:rsidR="00292520" w:rsidRPr="009C6517">
        <w:rPr>
          <w:rFonts w:ascii="Times New Roman" w:hAnsi="Times New Roman" w:cs="Times New Roman"/>
          <w:sz w:val="20"/>
          <w:szCs w:val="20"/>
        </w:rPr>
        <w:t>a</w:t>
      </w:r>
      <w:r w:rsidR="00930FD3" w:rsidRPr="009C6517">
        <w:rPr>
          <w:rFonts w:ascii="Times New Roman" w:hAnsi="Times New Roman" w:cs="Times New Roman"/>
          <w:sz w:val="20"/>
          <w:szCs w:val="20"/>
        </w:rPr>
        <w:t xml:space="preserve">tremia was defined as two consecutive </w:t>
      </w:r>
      <w:r w:rsidR="0037536F" w:rsidRPr="009C6517">
        <w:rPr>
          <w:rFonts w:ascii="Times New Roman" w:hAnsi="Times New Roman" w:cs="Times New Roman"/>
          <w:sz w:val="20"/>
          <w:szCs w:val="20"/>
        </w:rPr>
        <w:t xml:space="preserve">serum </w:t>
      </w:r>
      <w:r w:rsidR="00930FD3" w:rsidRPr="009C6517">
        <w:rPr>
          <w:rFonts w:ascii="Times New Roman" w:hAnsi="Times New Roman" w:cs="Times New Roman"/>
          <w:sz w:val="20"/>
          <w:szCs w:val="20"/>
        </w:rPr>
        <w:t xml:space="preserve">sodium levels of less than 135 milliequivalents per liter. </w:t>
      </w:r>
      <w:r w:rsidR="004E7323" w:rsidRPr="009C6517">
        <w:rPr>
          <w:rFonts w:ascii="Times New Roman" w:hAnsi="Times New Roman" w:cs="Times New Roman"/>
          <w:sz w:val="20"/>
          <w:szCs w:val="20"/>
        </w:rPr>
        <w:t>An infant was defined as c</w:t>
      </w:r>
      <w:r w:rsidR="001551AF" w:rsidRPr="009C6517">
        <w:rPr>
          <w:rFonts w:ascii="Times New Roman" w:hAnsi="Times New Roman" w:cs="Times New Roman"/>
          <w:sz w:val="20"/>
          <w:szCs w:val="20"/>
        </w:rPr>
        <w:t xml:space="preserve">onstitutionally </w:t>
      </w:r>
      <w:r w:rsidR="004E7323" w:rsidRPr="009C6517">
        <w:rPr>
          <w:rFonts w:ascii="Times New Roman" w:hAnsi="Times New Roman" w:cs="Times New Roman"/>
          <w:sz w:val="20"/>
          <w:szCs w:val="20"/>
        </w:rPr>
        <w:t>small if their</w:t>
      </w:r>
      <w:r w:rsidR="001551AF" w:rsidRPr="009C6517">
        <w:rPr>
          <w:rFonts w:ascii="Times New Roman" w:hAnsi="Times New Roman" w:cs="Times New Roman"/>
          <w:sz w:val="20"/>
          <w:szCs w:val="20"/>
        </w:rPr>
        <w:t xml:space="preserve"> birthweight </w:t>
      </w:r>
      <w:r w:rsidR="004E7323" w:rsidRPr="009C6517">
        <w:rPr>
          <w:rFonts w:ascii="Times New Roman" w:hAnsi="Times New Roman" w:cs="Times New Roman"/>
          <w:sz w:val="20"/>
          <w:szCs w:val="20"/>
        </w:rPr>
        <w:t xml:space="preserve">was </w:t>
      </w:r>
      <w:r w:rsidR="001551AF" w:rsidRPr="009C6517">
        <w:rPr>
          <w:rFonts w:ascii="Times New Roman" w:hAnsi="Times New Roman" w:cs="Times New Roman"/>
          <w:sz w:val="20"/>
          <w:szCs w:val="20"/>
        </w:rPr>
        <w:t xml:space="preserve">below the </w:t>
      </w:r>
      <w:r w:rsidR="004E7323" w:rsidRPr="009C6517">
        <w:rPr>
          <w:rFonts w:ascii="Times New Roman" w:hAnsi="Times New Roman" w:cs="Times New Roman"/>
          <w:sz w:val="20"/>
          <w:szCs w:val="20"/>
        </w:rPr>
        <w:t>15</w:t>
      </w:r>
      <w:r w:rsidR="004E7323" w:rsidRPr="009C6517">
        <w:rPr>
          <w:rFonts w:ascii="Times New Roman" w:hAnsi="Times New Roman" w:cs="Times New Roman"/>
          <w:sz w:val="20"/>
          <w:szCs w:val="20"/>
          <w:vertAlign w:val="superscript"/>
        </w:rPr>
        <w:t>th</w:t>
      </w:r>
      <w:r w:rsidR="004E7323" w:rsidRPr="009C6517">
        <w:rPr>
          <w:rFonts w:ascii="Times New Roman" w:hAnsi="Times New Roman" w:cs="Times New Roman"/>
          <w:sz w:val="20"/>
          <w:szCs w:val="20"/>
        </w:rPr>
        <w:t xml:space="preserve"> </w:t>
      </w:r>
      <w:r w:rsidR="001551AF" w:rsidRPr="009C6517">
        <w:rPr>
          <w:rFonts w:ascii="Times New Roman" w:hAnsi="Times New Roman" w:cs="Times New Roman"/>
          <w:sz w:val="20"/>
          <w:szCs w:val="20"/>
        </w:rPr>
        <w:t xml:space="preserve">percentile for gestational age. Aerodigestive issues were defined as abnormal suck and swallow on modified barium swallow or speech-language pathologist exam. </w:t>
      </w:r>
      <w:r w:rsidR="001551AF" w:rsidRPr="009C6517">
        <w:rPr>
          <w:rFonts w:ascii="Times New Roman" w:hAnsi="Times New Roman" w:cs="Times New Roman"/>
          <w:sz w:val="20"/>
          <w:szCs w:val="20"/>
        </w:rPr>
        <w:lastRenderedPageBreak/>
        <w:t>Timing of growth failure was determined by examining the weight</w:t>
      </w:r>
      <w:r w:rsidR="004E7323" w:rsidRPr="009C6517">
        <w:rPr>
          <w:rFonts w:ascii="Times New Roman" w:hAnsi="Times New Roman" w:cs="Times New Roman"/>
          <w:sz w:val="20"/>
          <w:szCs w:val="20"/>
        </w:rPr>
        <w:t>-for-age</w:t>
      </w:r>
      <w:r w:rsidR="001551AF" w:rsidRPr="009C6517">
        <w:rPr>
          <w:rFonts w:ascii="Times New Roman" w:hAnsi="Times New Roman" w:cs="Times New Roman"/>
          <w:sz w:val="20"/>
          <w:szCs w:val="20"/>
        </w:rPr>
        <w:t xml:space="preserve"> percentile on the first day of each gestational age week throughout hospitalization. </w:t>
      </w:r>
      <w:r w:rsidR="00DA2614" w:rsidRPr="009C6517">
        <w:rPr>
          <w:rFonts w:ascii="Times New Roman" w:hAnsi="Times New Roman" w:cs="Times New Roman"/>
          <w:sz w:val="20"/>
          <w:szCs w:val="20"/>
        </w:rPr>
        <w:t>Inade</w:t>
      </w:r>
      <w:r w:rsidR="009F4F8A" w:rsidRPr="009C6517">
        <w:rPr>
          <w:rFonts w:ascii="Times New Roman" w:hAnsi="Times New Roman" w:cs="Times New Roman"/>
          <w:sz w:val="20"/>
          <w:szCs w:val="20"/>
        </w:rPr>
        <w:t>q</w:t>
      </w:r>
      <w:r w:rsidR="00DA2614" w:rsidRPr="009C6517">
        <w:rPr>
          <w:rFonts w:ascii="Times New Roman" w:hAnsi="Times New Roman" w:cs="Times New Roman"/>
          <w:sz w:val="20"/>
          <w:szCs w:val="20"/>
        </w:rPr>
        <w:t xml:space="preserve">uate </w:t>
      </w:r>
      <w:r w:rsidR="007F22E6" w:rsidRPr="009C6517">
        <w:rPr>
          <w:rFonts w:ascii="Times New Roman" w:hAnsi="Times New Roman" w:cs="Times New Roman"/>
          <w:sz w:val="20"/>
          <w:szCs w:val="20"/>
        </w:rPr>
        <w:t xml:space="preserve">nutritional </w:t>
      </w:r>
      <w:r w:rsidR="00DA2614" w:rsidRPr="009C6517">
        <w:rPr>
          <w:rFonts w:ascii="Times New Roman" w:hAnsi="Times New Roman" w:cs="Times New Roman"/>
          <w:sz w:val="20"/>
          <w:szCs w:val="20"/>
        </w:rPr>
        <w:t>intake was defined as clin</w:t>
      </w:r>
      <w:r w:rsidR="001D734B" w:rsidRPr="009C6517">
        <w:rPr>
          <w:rFonts w:ascii="Times New Roman" w:hAnsi="Times New Roman" w:cs="Times New Roman"/>
          <w:sz w:val="20"/>
          <w:szCs w:val="20"/>
        </w:rPr>
        <w:t>i</w:t>
      </w:r>
      <w:r w:rsidR="00DA2614" w:rsidRPr="009C6517">
        <w:rPr>
          <w:rFonts w:ascii="Times New Roman" w:hAnsi="Times New Roman" w:cs="Times New Roman"/>
          <w:sz w:val="20"/>
          <w:szCs w:val="20"/>
        </w:rPr>
        <w:t xml:space="preserve">cal signs of increased energy requirements and/or limited parenteral </w:t>
      </w:r>
      <w:r w:rsidR="004E7323" w:rsidRPr="009C6517">
        <w:rPr>
          <w:rFonts w:ascii="Times New Roman" w:hAnsi="Times New Roman" w:cs="Times New Roman"/>
          <w:sz w:val="20"/>
          <w:szCs w:val="20"/>
        </w:rPr>
        <w:t>macronutrient content</w:t>
      </w:r>
      <w:r w:rsidR="00DA2614" w:rsidRPr="009C6517">
        <w:rPr>
          <w:rFonts w:ascii="Times New Roman" w:hAnsi="Times New Roman" w:cs="Times New Roman"/>
          <w:sz w:val="20"/>
          <w:szCs w:val="20"/>
        </w:rPr>
        <w:t xml:space="preserve"> due to hypertriglyceridemia or hyperinsulinemia. </w:t>
      </w:r>
      <w:r w:rsidR="00930FD3" w:rsidRPr="009C6517">
        <w:rPr>
          <w:rFonts w:ascii="Times New Roman" w:hAnsi="Times New Roman" w:cs="Times New Roman"/>
          <w:sz w:val="20"/>
          <w:szCs w:val="20"/>
        </w:rPr>
        <w:t xml:space="preserve">Total fluid volumes were calculated daily by dividing total intake in milliliters by the daily weight. Birthweight was used until the daily weight exceeded the infant’s birthweight.  </w:t>
      </w:r>
    </w:p>
    <w:p w14:paraId="3612E30B" w14:textId="77777777" w:rsidR="00000610" w:rsidRPr="00A63E15" w:rsidRDefault="00000610" w:rsidP="00747A19">
      <w:pPr>
        <w:spacing w:line="360" w:lineRule="auto"/>
        <w:ind w:firstLine="720"/>
        <w:rPr>
          <w:rFonts w:ascii="Times New Roman" w:hAnsi="Times New Roman" w:cs="Times New Roman"/>
          <w:b/>
          <w:bCs/>
          <w:sz w:val="20"/>
          <w:szCs w:val="20"/>
        </w:rPr>
      </w:pPr>
      <w:r w:rsidRPr="00A63E15">
        <w:rPr>
          <w:rFonts w:ascii="Times New Roman" w:hAnsi="Times New Roman" w:cs="Times New Roman"/>
          <w:b/>
          <w:bCs/>
          <w:sz w:val="20"/>
          <w:szCs w:val="20"/>
        </w:rPr>
        <w:t>Statistical Analysis</w:t>
      </w:r>
    </w:p>
    <w:p w14:paraId="4348DE01" w14:textId="50891225" w:rsidR="00051401" w:rsidRPr="00A63E15" w:rsidRDefault="007F22E6" w:rsidP="005F511B">
      <w:p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 </w:t>
      </w:r>
      <w:r w:rsidR="00B72A3F">
        <w:rPr>
          <w:rFonts w:ascii="Times New Roman" w:hAnsi="Times New Roman" w:cs="Times New Roman"/>
          <w:sz w:val="20"/>
          <w:szCs w:val="20"/>
        </w:rPr>
        <w:tab/>
      </w:r>
      <w:r w:rsidR="00B72A3F" w:rsidRPr="00E634B1">
        <w:rPr>
          <w:rFonts w:ascii="Times New Roman" w:hAnsi="Times New Roman" w:cs="Times New Roman"/>
          <w:color w:val="000000" w:themeColor="text1"/>
          <w:sz w:val="20"/>
          <w:szCs w:val="20"/>
        </w:rPr>
        <w:t xml:space="preserve">The primary comparison groups were infants with growth failure before and after the </w:t>
      </w:r>
      <w:r w:rsidR="003C0179" w:rsidRPr="00E634B1">
        <w:rPr>
          <w:rFonts w:ascii="Times New Roman" w:hAnsi="Times New Roman" w:cs="Times New Roman"/>
          <w:color w:val="000000" w:themeColor="text1"/>
          <w:sz w:val="20"/>
          <w:szCs w:val="20"/>
        </w:rPr>
        <w:t>targeted</w:t>
      </w:r>
      <w:r w:rsidR="00B72A3F" w:rsidRPr="00E634B1">
        <w:rPr>
          <w:rFonts w:ascii="Times New Roman" w:hAnsi="Times New Roman" w:cs="Times New Roman"/>
          <w:color w:val="000000" w:themeColor="text1"/>
          <w:sz w:val="20"/>
          <w:szCs w:val="20"/>
        </w:rPr>
        <w:t xml:space="preserve"> </w:t>
      </w:r>
      <w:r w:rsidR="003C0179" w:rsidRPr="00E634B1">
        <w:rPr>
          <w:rFonts w:ascii="Times New Roman" w:hAnsi="Times New Roman" w:cs="Times New Roman"/>
          <w:color w:val="000000" w:themeColor="text1"/>
          <w:sz w:val="20"/>
          <w:szCs w:val="20"/>
        </w:rPr>
        <w:t xml:space="preserve">nutrition protocol was implemented.  For these infants, </w:t>
      </w:r>
      <w:r w:rsidR="001840AB">
        <w:rPr>
          <w:rFonts w:ascii="Times New Roman" w:hAnsi="Times New Roman" w:cs="Times New Roman"/>
          <w:color w:val="000000" w:themeColor="text1"/>
          <w:sz w:val="20"/>
          <w:szCs w:val="20"/>
        </w:rPr>
        <w:t xml:space="preserve">multiple </w:t>
      </w:r>
      <w:proofErr w:type="gramStart"/>
      <w:r w:rsidR="001840AB">
        <w:rPr>
          <w:rFonts w:ascii="Times New Roman" w:hAnsi="Times New Roman" w:cs="Times New Roman"/>
          <w:color w:val="000000" w:themeColor="text1"/>
          <w:sz w:val="20"/>
          <w:szCs w:val="20"/>
        </w:rPr>
        <w:t>demographic</w:t>
      </w:r>
      <w:proofErr w:type="gramEnd"/>
      <w:r w:rsidR="001840AB">
        <w:rPr>
          <w:rFonts w:ascii="Times New Roman" w:hAnsi="Times New Roman" w:cs="Times New Roman"/>
          <w:color w:val="000000" w:themeColor="text1"/>
          <w:sz w:val="20"/>
          <w:szCs w:val="20"/>
        </w:rPr>
        <w:t xml:space="preserve">, maternal, and clinical factors </w:t>
      </w:r>
      <w:r w:rsidR="009A1A4F" w:rsidRPr="00E634B1">
        <w:rPr>
          <w:rFonts w:ascii="Times New Roman" w:hAnsi="Times New Roman" w:cs="Times New Roman"/>
          <w:color w:val="000000" w:themeColor="text1"/>
          <w:sz w:val="20"/>
          <w:szCs w:val="20"/>
        </w:rPr>
        <w:t xml:space="preserve">were compared.  P values were obtained using </w:t>
      </w:r>
      <w:r w:rsidR="009A1A4F" w:rsidRPr="00E634B1">
        <w:rPr>
          <w:rFonts w:ascii="Times New Roman" w:eastAsia="Times New Roman" w:hAnsi="Times New Roman" w:cs="Times New Roman"/>
          <w:color w:val="000000" w:themeColor="text1"/>
          <w:sz w:val="20"/>
          <w:szCs w:val="20"/>
          <w:shd w:val="clear" w:color="auto" w:fill="FFFFFF"/>
        </w:rPr>
        <w:t>chi square tests of association for categorical variables and t-tests for continuous variables</w:t>
      </w:r>
      <w:r w:rsidR="009A1A4F" w:rsidRPr="00E634B1">
        <w:rPr>
          <w:rFonts w:ascii="Times New Roman" w:eastAsia="Times New Roman" w:hAnsi="Times New Roman" w:cs="Times New Roman"/>
          <w:color w:val="000000" w:themeColor="text1"/>
          <w:sz w:val="20"/>
          <w:szCs w:val="20"/>
          <w:shd w:val="clear" w:color="auto" w:fill="FFFFFF"/>
        </w:rPr>
        <w:t xml:space="preserve">. A larger secondary analysis </w:t>
      </w:r>
      <w:r w:rsidR="00305F0D" w:rsidRPr="00E634B1">
        <w:rPr>
          <w:rFonts w:ascii="Times New Roman" w:eastAsia="Times New Roman" w:hAnsi="Times New Roman" w:cs="Times New Roman"/>
          <w:color w:val="000000" w:themeColor="text1"/>
          <w:sz w:val="20"/>
          <w:szCs w:val="20"/>
          <w:shd w:val="clear" w:color="auto" w:fill="FFFFFF"/>
        </w:rPr>
        <w:t>compared</w:t>
      </w:r>
      <w:r w:rsidR="00305F0D" w:rsidRPr="00E634B1">
        <w:rPr>
          <w:rFonts w:ascii="Times New Roman" w:eastAsia="Times New Roman" w:hAnsi="Times New Roman" w:cs="Times New Roman"/>
          <w:color w:val="000000" w:themeColor="text1"/>
          <w:sz w:val="20"/>
          <w:szCs w:val="20"/>
        </w:rPr>
        <w:t xml:space="preserve"> s</w:t>
      </w:r>
      <w:r w:rsidR="00AD7146" w:rsidRPr="00E634B1">
        <w:rPr>
          <w:rFonts w:ascii="Times New Roman" w:hAnsi="Times New Roman" w:cs="Times New Roman"/>
          <w:color w:val="000000" w:themeColor="text1"/>
          <w:sz w:val="20"/>
          <w:szCs w:val="20"/>
        </w:rPr>
        <w:t>ex</w:t>
      </w:r>
      <w:r w:rsidR="00AD7146" w:rsidRPr="00E634B1">
        <w:rPr>
          <w:rFonts w:ascii="Times New Roman" w:hAnsi="Times New Roman" w:cs="Times New Roman"/>
          <w:sz w:val="20"/>
          <w:szCs w:val="20"/>
        </w:rPr>
        <w:t xml:space="preserve">, GA at birth, </w:t>
      </w:r>
      <w:proofErr w:type="gramStart"/>
      <w:r w:rsidR="00AD7146" w:rsidRPr="00E634B1">
        <w:rPr>
          <w:rFonts w:ascii="Times New Roman" w:hAnsi="Times New Roman" w:cs="Times New Roman"/>
          <w:sz w:val="20"/>
          <w:szCs w:val="20"/>
        </w:rPr>
        <w:t>birth</w:t>
      </w:r>
      <w:proofErr w:type="gramEnd"/>
      <w:r w:rsidR="00AD7146" w:rsidRPr="00E634B1">
        <w:rPr>
          <w:rFonts w:ascii="Times New Roman" w:hAnsi="Times New Roman" w:cs="Times New Roman"/>
          <w:sz w:val="20"/>
          <w:szCs w:val="20"/>
        </w:rPr>
        <w:t xml:space="preserve"> and discharge weight z-scores and %tiles, and changes from birth to discharge among 4 groups of infants</w:t>
      </w:r>
      <w:r w:rsidR="00AD7146" w:rsidRPr="00A63E15">
        <w:rPr>
          <w:rFonts w:ascii="Times New Roman" w:hAnsi="Times New Roman" w:cs="Times New Roman"/>
          <w:sz w:val="20"/>
          <w:szCs w:val="20"/>
        </w:rPr>
        <w:t>: those with/without intervention and those with/without growth failure. For continuous variables, analysis of variance (ANOVA) F-test was used to obtain p values for comparing means among all four groups. Furthermore, Tukey’s post-hoc pairwise comparison test was used to compare between two groups. For categorical variable</w:t>
      </w:r>
      <w:r w:rsidR="00305F0D">
        <w:rPr>
          <w:rFonts w:ascii="Times New Roman" w:hAnsi="Times New Roman" w:cs="Times New Roman"/>
          <w:sz w:val="20"/>
          <w:szCs w:val="20"/>
        </w:rPr>
        <w:t>s</w:t>
      </w:r>
      <w:r w:rsidR="00AD7146" w:rsidRPr="00A63E15">
        <w:rPr>
          <w:rFonts w:ascii="Times New Roman" w:hAnsi="Times New Roman" w:cs="Times New Roman"/>
          <w:sz w:val="20"/>
          <w:szCs w:val="20"/>
        </w:rPr>
        <w:t xml:space="preserve">, </w:t>
      </w:r>
      <w:r w:rsidR="00305F0D">
        <w:rPr>
          <w:rFonts w:ascii="Times New Roman" w:hAnsi="Times New Roman" w:cs="Times New Roman"/>
          <w:sz w:val="20"/>
          <w:szCs w:val="20"/>
        </w:rPr>
        <w:t xml:space="preserve">a </w:t>
      </w:r>
      <w:r w:rsidR="00AD7146" w:rsidRPr="00A63E15">
        <w:rPr>
          <w:rFonts w:ascii="Times New Roman" w:hAnsi="Times New Roman" w:cs="Times New Roman"/>
          <w:sz w:val="20"/>
          <w:szCs w:val="20"/>
        </w:rPr>
        <w:t>categorical model was used instead to test the difference in proportions among four groups. Two-group comparison was made by method of contrast</w:t>
      </w:r>
      <w:r w:rsidR="00DE5A89">
        <w:rPr>
          <w:rFonts w:ascii="Times New Roman" w:eastAsia="Times New Roman" w:hAnsi="Times New Roman" w:cs="Times New Roman"/>
          <w:color w:val="000000"/>
          <w:sz w:val="20"/>
          <w:szCs w:val="20"/>
        </w:rPr>
        <w:t xml:space="preserve">. </w:t>
      </w:r>
      <w:r w:rsidR="00F119BD" w:rsidRPr="00A63E15">
        <w:rPr>
          <w:rFonts w:ascii="Times New Roman" w:eastAsia="Times New Roman" w:hAnsi="Times New Roman" w:cs="Times New Roman"/>
          <w:color w:val="000000"/>
          <w:sz w:val="20"/>
          <w:szCs w:val="20"/>
        </w:rPr>
        <w:t xml:space="preserve"> P values for </w:t>
      </w:r>
      <w:r w:rsidR="00DE5A89">
        <w:rPr>
          <w:rFonts w:ascii="Times New Roman" w:eastAsia="Times New Roman" w:hAnsi="Times New Roman" w:cs="Times New Roman"/>
          <w:color w:val="000000"/>
          <w:sz w:val="20"/>
          <w:szCs w:val="20"/>
        </w:rPr>
        <w:t>categorical variables were</w:t>
      </w:r>
      <w:r w:rsidR="00F119BD" w:rsidRPr="00A63E15">
        <w:rPr>
          <w:rFonts w:ascii="Times New Roman" w:eastAsia="Times New Roman" w:hAnsi="Times New Roman" w:cs="Times New Roman"/>
          <w:color w:val="000000"/>
          <w:sz w:val="20"/>
          <w:szCs w:val="20"/>
        </w:rPr>
        <w:t xml:space="preserve"> obtained from categorical model Chi-square test. P values for all other continuous variables were obtained from Analysis of Variance (ANOVA) F-test and Tukey's multiple comparison test.</w:t>
      </w:r>
      <w:r w:rsidR="00DE5A89">
        <w:rPr>
          <w:rFonts w:ascii="Times New Roman" w:hAnsi="Times New Roman" w:cs="Times New Roman"/>
          <w:sz w:val="20"/>
          <w:szCs w:val="20"/>
        </w:rPr>
        <w:t xml:space="preserve"> Finally, l</w:t>
      </w:r>
      <w:r w:rsidR="00051401" w:rsidRPr="00A63E15">
        <w:rPr>
          <w:rFonts w:ascii="Times New Roman" w:hAnsi="Times New Roman" w:cs="Times New Roman"/>
          <w:sz w:val="20"/>
          <w:szCs w:val="20"/>
        </w:rPr>
        <w:t xml:space="preserve">ogistic regression was used to derive odds ratio (OR) of growth failure for infants experienced intervention vs those not, adjusted for sex, GA at birth, and birthweight </w:t>
      </w:r>
      <w:r w:rsidR="00DE5A89">
        <w:rPr>
          <w:rFonts w:ascii="Times New Roman" w:hAnsi="Times New Roman" w:cs="Times New Roman"/>
          <w:sz w:val="20"/>
          <w:szCs w:val="20"/>
        </w:rPr>
        <w:t>percent</w:t>
      </w:r>
      <w:r w:rsidR="00051401" w:rsidRPr="00A63E15">
        <w:rPr>
          <w:rFonts w:ascii="Times New Roman" w:hAnsi="Times New Roman" w:cs="Times New Roman"/>
          <w:sz w:val="20"/>
          <w:szCs w:val="20"/>
        </w:rPr>
        <w:t>ile.</w:t>
      </w:r>
    </w:p>
    <w:p w14:paraId="31732A70" w14:textId="159692F8" w:rsidR="00051401" w:rsidRPr="00A63E15" w:rsidRDefault="00FD66EE" w:rsidP="00747A19">
      <w:pPr>
        <w:spacing w:line="360" w:lineRule="auto"/>
        <w:ind w:firstLine="720"/>
        <w:rPr>
          <w:rFonts w:ascii="Times New Roman" w:hAnsi="Times New Roman" w:cs="Times New Roman"/>
          <w:sz w:val="20"/>
          <w:szCs w:val="20"/>
        </w:rPr>
      </w:pPr>
      <w:r w:rsidRPr="00A63E15">
        <w:rPr>
          <w:rFonts w:ascii="Times New Roman" w:hAnsi="Times New Roman" w:cs="Times New Roman"/>
          <w:sz w:val="20"/>
          <w:szCs w:val="20"/>
        </w:rPr>
        <w:t xml:space="preserve">We </w:t>
      </w:r>
      <w:r w:rsidR="00DE5A89">
        <w:rPr>
          <w:rFonts w:ascii="Times New Roman" w:hAnsi="Times New Roman" w:cs="Times New Roman"/>
          <w:sz w:val="20"/>
          <w:szCs w:val="20"/>
        </w:rPr>
        <w:t xml:space="preserve">then </w:t>
      </w:r>
      <w:r w:rsidRPr="00A63E15">
        <w:rPr>
          <w:rFonts w:ascii="Times New Roman" w:hAnsi="Times New Roman" w:cs="Times New Roman"/>
          <w:sz w:val="20"/>
          <w:szCs w:val="20"/>
        </w:rPr>
        <w:t>investigated potentially growth-related factors among infants who had growth failure. The proportion of each dichotomized factor was compared between two cohorts: those with/without intervention, using Contingency Table Chi-square test, or Fisher’s exact test in case the cell sizes for the contingency table were small.</w:t>
      </w:r>
    </w:p>
    <w:p w14:paraId="2FD623AB" w14:textId="664864F2" w:rsidR="00932921" w:rsidRPr="00A63E15" w:rsidRDefault="008D1C8B" w:rsidP="00747A19">
      <w:pPr>
        <w:spacing w:line="360" w:lineRule="auto"/>
        <w:rPr>
          <w:rFonts w:ascii="Times New Roman" w:eastAsia="Times New Roman" w:hAnsi="Times New Roman" w:cs="Times New Roman"/>
          <w:color w:val="000000"/>
          <w:sz w:val="20"/>
          <w:szCs w:val="20"/>
        </w:rPr>
      </w:pPr>
      <w:r w:rsidRPr="00A63E15">
        <w:rPr>
          <w:rFonts w:ascii="Times New Roman" w:hAnsi="Times New Roman" w:cs="Times New Roman"/>
          <w:sz w:val="20"/>
          <w:szCs w:val="20"/>
        </w:rPr>
        <w:t xml:space="preserve">To find what factors were associated with weight loss from birth to discharge among infants with growth failure, we modeled the change in weight %tile (birth weight – discharge weight) using multivariate ordinary least square with </w:t>
      </w:r>
      <w:r w:rsidR="00DE5A89">
        <w:rPr>
          <w:rFonts w:ascii="Times New Roman" w:hAnsi="Times New Roman" w:cs="Times New Roman"/>
          <w:sz w:val="20"/>
          <w:szCs w:val="20"/>
        </w:rPr>
        <w:t xml:space="preserve">predetermined </w:t>
      </w:r>
      <w:r w:rsidRPr="00A63E15">
        <w:rPr>
          <w:rFonts w:ascii="Times New Roman" w:hAnsi="Times New Roman" w:cs="Times New Roman"/>
          <w:sz w:val="20"/>
          <w:szCs w:val="20"/>
        </w:rPr>
        <w:t xml:space="preserve">predictors listed in </w:t>
      </w:r>
      <w:r w:rsidR="00DE5A89">
        <w:rPr>
          <w:rFonts w:ascii="Times New Roman" w:hAnsi="Times New Roman" w:cs="Times New Roman"/>
          <w:sz w:val="20"/>
          <w:szCs w:val="20"/>
        </w:rPr>
        <w:t>Figure 1</w:t>
      </w:r>
      <w:r w:rsidRPr="00A63E15">
        <w:rPr>
          <w:rFonts w:ascii="Times New Roman" w:hAnsi="Times New Roman" w:cs="Times New Roman"/>
          <w:sz w:val="20"/>
          <w:szCs w:val="20"/>
        </w:rPr>
        <w:t xml:space="preserve">. </w:t>
      </w:r>
      <w:r w:rsidR="00932921" w:rsidRPr="00A63E15">
        <w:rPr>
          <w:rFonts w:ascii="Times New Roman" w:eastAsia="Times New Roman" w:hAnsi="Times New Roman" w:cs="Times New Roman"/>
          <w:color w:val="000000"/>
          <w:sz w:val="20"/>
          <w:szCs w:val="20"/>
        </w:rPr>
        <w:t xml:space="preserve">The change in </w:t>
      </w:r>
      <w:r w:rsidR="00DE5A89">
        <w:rPr>
          <w:rFonts w:ascii="Times New Roman" w:eastAsia="Times New Roman" w:hAnsi="Times New Roman" w:cs="Times New Roman"/>
          <w:color w:val="000000"/>
          <w:sz w:val="20"/>
          <w:szCs w:val="20"/>
        </w:rPr>
        <w:t>w</w:t>
      </w:r>
      <w:r w:rsidR="00932921" w:rsidRPr="00A63E15">
        <w:rPr>
          <w:rFonts w:ascii="Times New Roman" w:eastAsia="Times New Roman" w:hAnsi="Times New Roman" w:cs="Times New Roman"/>
          <w:color w:val="000000"/>
          <w:sz w:val="20"/>
          <w:szCs w:val="20"/>
        </w:rPr>
        <w:t>eight</w:t>
      </w:r>
      <w:r w:rsidR="00DE5A89">
        <w:rPr>
          <w:rFonts w:ascii="Times New Roman" w:eastAsia="Times New Roman" w:hAnsi="Times New Roman" w:cs="Times New Roman"/>
          <w:color w:val="000000"/>
          <w:sz w:val="20"/>
          <w:szCs w:val="20"/>
        </w:rPr>
        <w:t xml:space="preserve"> percen</w:t>
      </w:r>
      <w:r w:rsidR="00932921" w:rsidRPr="00A63E15">
        <w:rPr>
          <w:rFonts w:ascii="Times New Roman" w:eastAsia="Times New Roman" w:hAnsi="Times New Roman" w:cs="Times New Roman"/>
          <w:color w:val="000000"/>
          <w:sz w:val="20"/>
          <w:szCs w:val="20"/>
        </w:rPr>
        <w:t xml:space="preserve">tile </w:t>
      </w:r>
      <w:r w:rsidR="00DE5A89">
        <w:rPr>
          <w:rFonts w:ascii="Times New Roman" w:eastAsia="Times New Roman" w:hAnsi="Times New Roman" w:cs="Times New Roman"/>
          <w:color w:val="000000"/>
          <w:sz w:val="20"/>
          <w:szCs w:val="20"/>
        </w:rPr>
        <w:t xml:space="preserve">was </w:t>
      </w:r>
      <w:r w:rsidR="00932921" w:rsidRPr="00A63E15">
        <w:rPr>
          <w:rFonts w:ascii="Times New Roman" w:eastAsia="Times New Roman" w:hAnsi="Times New Roman" w:cs="Times New Roman"/>
          <w:color w:val="000000"/>
          <w:sz w:val="20"/>
          <w:szCs w:val="20"/>
        </w:rPr>
        <w:t xml:space="preserve">defined as </w:t>
      </w:r>
      <w:r w:rsidR="00DE5A89">
        <w:rPr>
          <w:rFonts w:ascii="Times New Roman" w:eastAsia="Times New Roman" w:hAnsi="Times New Roman" w:cs="Times New Roman"/>
          <w:color w:val="000000"/>
          <w:sz w:val="20"/>
          <w:szCs w:val="20"/>
        </w:rPr>
        <w:t>weight percen</w:t>
      </w:r>
      <w:r w:rsidR="00932921" w:rsidRPr="00A63E15">
        <w:rPr>
          <w:rFonts w:ascii="Times New Roman" w:eastAsia="Times New Roman" w:hAnsi="Times New Roman" w:cs="Times New Roman"/>
          <w:color w:val="000000"/>
          <w:sz w:val="20"/>
          <w:szCs w:val="20"/>
        </w:rPr>
        <w:t xml:space="preserve">tile at birth minus </w:t>
      </w:r>
      <w:r w:rsidR="00DE5A89">
        <w:rPr>
          <w:rFonts w:ascii="Times New Roman" w:eastAsia="Times New Roman" w:hAnsi="Times New Roman" w:cs="Times New Roman"/>
          <w:color w:val="000000"/>
          <w:sz w:val="20"/>
          <w:szCs w:val="20"/>
        </w:rPr>
        <w:t>weight percentile</w:t>
      </w:r>
      <w:r w:rsidR="00DE5A89" w:rsidRPr="00A63E15">
        <w:rPr>
          <w:rFonts w:ascii="Times New Roman" w:eastAsia="Times New Roman" w:hAnsi="Times New Roman" w:cs="Times New Roman"/>
          <w:color w:val="000000"/>
          <w:sz w:val="20"/>
          <w:szCs w:val="20"/>
        </w:rPr>
        <w:t xml:space="preserve"> </w:t>
      </w:r>
      <w:r w:rsidR="00932921" w:rsidRPr="00A63E15">
        <w:rPr>
          <w:rFonts w:ascii="Times New Roman" w:eastAsia="Times New Roman" w:hAnsi="Times New Roman" w:cs="Times New Roman"/>
          <w:color w:val="000000"/>
          <w:sz w:val="20"/>
          <w:szCs w:val="20"/>
        </w:rPr>
        <w:t>at discharge</w:t>
      </w:r>
      <w:r w:rsidR="00DE5A89">
        <w:rPr>
          <w:rFonts w:ascii="Times New Roman" w:eastAsia="Times New Roman" w:hAnsi="Times New Roman" w:cs="Times New Roman"/>
          <w:color w:val="000000"/>
          <w:sz w:val="20"/>
          <w:szCs w:val="20"/>
        </w:rPr>
        <w:t xml:space="preserve">, therefore </w:t>
      </w:r>
      <w:r w:rsidR="00932921" w:rsidRPr="00A63E15">
        <w:rPr>
          <w:rFonts w:ascii="Times New Roman" w:eastAsia="Times New Roman" w:hAnsi="Times New Roman" w:cs="Times New Roman"/>
          <w:color w:val="000000"/>
          <w:sz w:val="20"/>
          <w:szCs w:val="20"/>
        </w:rPr>
        <w:t>a positive number indicates a weight loss.</w:t>
      </w:r>
    </w:p>
    <w:p w14:paraId="0B4501B8" w14:textId="1526B160" w:rsidR="008D1C8B" w:rsidRPr="00A63E15" w:rsidRDefault="008D1C8B" w:rsidP="00747A19">
      <w:pPr>
        <w:spacing w:line="360" w:lineRule="auto"/>
        <w:ind w:firstLine="720"/>
        <w:rPr>
          <w:rFonts w:ascii="Times New Roman" w:hAnsi="Times New Roman" w:cs="Times New Roman"/>
          <w:sz w:val="20"/>
          <w:szCs w:val="20"/>
        </w:rPr>
      </w:pPr>
    </w:p>
    <w:p w14:paraId="404D2C34" w14:textId="45A8EC66" w:rsidR="00041AD3" w:rsidRPr="00747A19" w:rsidRDefault="00041AD3" w:rsidP="00747A19">
      <w:pPr>
        <w:spacing w:line="360" w:lineRule="auto"/>
        <w:rPr>
          <w:rFonts w:ascii="Times New Roman" w:hAnsi="Times New Roman" w:cs="Times New Roman"/>
          <w:b/>
          <w:bCs/>
          <w:sz w:val="20"/>
          <w:szCs w:val="20"/>
        </w:rPr>
      </w:pPr>
      <w:r w:rsidRPr="00747A19">
        <w:rPr>
          <w:rFonts w:ascii="Times New Roman" w:hAnsi="Times New Roman" w:cs="Times New Roman"/>
          <w:b/>
          <w:bCs/>
          <w:sz w:val="20"/>
          <w:szCs w:val="20"/>
        </w:rPr>
        <w:t>Results</w:t>
      </w:r>
    </w:p>
    <w:p w14:paraId="04181E8C" w14:textId="47ADE0E3" w:rsidR="007B3E06" w:rsidRPr="00747A19" w:rsidRDefault="00BF5379" w:rsidP="006F2308">
      <w:pPr>
        <w:spacing w:line="360" w:lineRule="auto"/>
        <w:ind w:firstLine="720"/>
        <w:rPr>
          <w:rFonts w:ascii="Times New Roman" w:hAnsi="Times New Roman" w:cs="Times New Roman"/>
          <w:sz w:val="20"/>
          <w:szCs w:val="20"/>
        </w:rPr>
      </w:pPr>
      <w:r w:rsidRPr="009C6517">
        <w:rPr>
          <w:rFonts w:ascii="Times New Roman" w:hAnsi="Times New Roman" w:cs="Times New Roman"/>
          <w:sz w:val="20"/>
          <w:szCs w:val="20"/>
        </w:rPr>
        <w:t xml:space="preserve">Overall, </w:t>
      </w:r>
      <w:r w:rsidR="00C22880" w:rsidRPr="009C6517">
        <w:rPr>
          <w:rFonts w:ascii="Times New Roman" w:hAnsi="Times New Roman" w:cs="Times New Roman"/>
          <w:sz w:val="20"/>
          <w:szCs w:val="20"/>
        </w:rPr>
        <w:t xml:space="preserve">a total of 448 </w:t>
      </w:r>
      <w:r w:rsidRPr="009C6517">
        <w:rPr>
          <w:rFonts w:ascii="Times New Roman" w:hAnsi="Times New Roman" w:cs="Times New Roman"/>
          <w:sz w:val="20"/>
          <w:szCs w:val="20"/>
        </w:rPr>
        <w:t xml:space="preserve">infants were screened, of which </w:t>
      </w:r>
      <w:r w:rsidR="007F22E6" w:rsidRPr="009C6517">
        <w:rPr>
          <w:rFonts w:ascii="Times New Roman" w:hAnsi="Times New Roman" w:cs="Times New Roman"/>
          <w:sz w:val="20"/>
          <w:szCs w:val="20"/>
        </w:rPr>
        <w:t>395</w:t>
      </w:r>
      <w:r w:rsidRPr="009C6517">
        <w:rPr>
          <w:rFonts w:ascii="Times New Roman" w:hAnsi="Times New Roman" w:cs="Times New Roman"/>
          <w:sz w:val="20"/>
          <w:szCs w:val="20"/>
        </w:rPr>
        <w:t xml:space="preserve"> were eligible for this study.  A further 37 infants were excluded based on SGA birthweight, leaving a final </w:t>
      </w:r>
      <w:r w:rsidR="00C22880" w:rsidRPr="009C6517">
        <w:rPr>
          <w:rFonts w:ascii="Times New Roman" w:hAnsi="Times New Roman" w:cs="Times New Roman"/>
          <w:sz w:val="20"/>
          <w:szCs w:val="20"/>
        </w:rPr>
        <w:t xml:space="preserve">study </w:t>
      </w:r>
      <w:r w:rsidRPr="009C6517">
        <w:rPr>
          <w:rFonts w:ascii="Times New Roman" w:hAnsi="Times New Roman" w:cs="Times New Roman"/>
          <w:sz w:val="20"/>
          <w:szCs w:val="20"/>
        </w:rPr>
        <w:t xml:space="preserve">cohort of </w:t>
      </w:r>
      <w:r w:rsidR="007F22E6" w:rsidRPr="009C6517">
        <w:rPr>
          <w:rFonts w:ascii="Times New Roman" w:hAnsi="Times New Roman" w:cs="Times New Roman"/>
          <w:sz w:val="20"/>
          <w:szCs w:val="20"/>
        </w:rPr>
        <w:t>358</w:t>
      </w:r>
      <w:r w:rsidRPr="009C6517">
        <w:rPr>
          <w:rFonts w:ascii="Times New Roman" w:hAnsi="Times New Roman" w:cs="Times New Roman"/>
          <w:sz w:val="20"/>
          <w:szCs w:val="20"/>
        </w:rPr>
        <w:t xml:space="preserve"> infants. </w:t>
      </w:r>
      <w:r w:rsidR="00560FF9" w:rsidRPr="009C6517">
        <w:rPr>
          <w:rFonts w:ascii="Times New Roman" w:hAnsi="Times New Roman" w:cs="Times New Roman"/>
          <w:sz w:val="20"/>
          <w:szCs w:val="20"/>
        </w:rPr>
        <w:t>Of the</w:t>
      </w:r>
      <w:r w:rsidR="00AF4D2B">
        <w:rPr>
          <w:rFonts w:ascii="Times New Roman" w:hAnsi="Times New Roman" w:cs="Times New Roman"/>
          <w:sz w:val="20"/>
          <w:szCs w:val="20"/>
        </w:rPr>
        <w:t xml:space="preserve"> remaining infants</w:t>
      </w:r>
      <w:r w:rsidR="00560FF9" w:rsidRPr="009C6517">
        <w:rPr>
          <w:rFonts w:ascii="Times New Roman" w:hAnsi="Times New Roman" w:cs="Times New Roman"/>
          <w:sz w:val="20"/>
          <w:szCs w:val="20"/>
        </w:rPr>
        <w:t xml:space="preserve">, </w:t>
      </w:r>
      <w:r w:rsidR="007F22E6" w:rsidRPr="00747A19">
        <w:rPr>
          <w:rFonts w:ascii="Times New Roman" w:hAnsi="Times New Roman" w:cs="Times New Roman"/>
          <w:sz w:val="20"/>
          <w:szCs w:val="20"/>
        </w:rPr>
        <w:t>53</w:t>
      </w:r>
      <w:r w:rsidR="00560FF9" w:rsidRPr="00747A19">
        <w:rPr>
          <w:rFonts w:ascii="Times New Roman" w:hAnsi="Times New Roman" w:cs="Times New Roman"/>
          <w:sz w:val="20"/>
          <w:szCs w:val="20"/>
        </w:rPr>
        <w:t xml:space="preserve"> were discharged with EUGR</w:t>
      </w:r>
      <w:r w:rsidR="00C22880" w:rsidRPr="00747A19">
        <w:rPr>
          <w:rFonts w:ascii="Times New Roman" w:hAnsi="Times New Roman" w:cs="Times New Roman"/>
          <w:sz w:val="20"/>
          <w:szCs w:val="20"/>
        </w:rPr>
        <w:t xml:space="preserve"> (</w:t>
      </w:r>
      <w:r w:rsidR="00AF4D2B">
        <w:rPr>
          <w:rFonts w:ascii="Times New Roman" w:hAnsi="Times New Roman" w:cs="Times New Roman"/>
          <w:sz w:val="20"/>
          <w:szCs w:val="20"/>
        </w:rPr>
        <w:t>14.8</w:t>
      </w:r>
      <w:r w:rsidR="00C22880" w:rsidRPr="00747A19">
        <w:rPr>
          <w:rFonts w:ascii="Times New Roman" w:hAnsi="Times New Roman" w:cs="Times New Roman"/>
          <w:sz w:val="20"/>
          <w:szCs w:val="20"/>
        </w:rPr>
        <w:t>%)</w:t>
      </w:r>
      <w:r w:rsidR="00560FF9" w:rsidRPr="00747A19">
        <w:rPr>
          <w:rFonts w:ascii="Times New Roman" w:hAnsi="Times New Roman" w:cs="Times New Roman"/>
          <w:sz w:val="20"/>
          <w:szCs w:val="20"/>
        </w:rPr>
        <w:t xml:space="preserve"> and </w:t>
      </w:r>
      <w:r w:rsidR="007F22E6" w:rsidRPr="00747A19">
        <w:rPr>
          <w:rFonts w:ascii="Times New Roman" w:hAnsi="Times New Roman" w:cs="Times New Roman"/>
          <w:sz w:val="20"/>
          <w:szCs w:val="20"/>
        </w:rPr>
        <w:t>305</w:t>
      </w:r>
      <w:r w:rsidR="00560FF9" w:rsidRPr="00747A19">
        <w:rPr>
          <w:rFonts w:ascii="Times New Roman" w:hAnsi="Times New Roman" w:cs="Times New Roman"/>
          <w:sz w:val="20"/>
          <w:szCs w:val="20"/>
        </w:rPr>
        <w:t xml:space="preserve"> were discharged without EUGR.</w:t>
      </w:r>
    </w:p>
    <w:p w14:paraId="0C83119E" w14:textId="47342B13" w:rsidR="00F0100D" w:rsidRPr="00507200" w:rsidRDefault="003A27E3" w:rsidP="00E5308B">
      <w:pPr>
        <w:spacing w:line="360" w:lineRule="auto"/>
        <w:ind w:firstLine="720"/>
        <w:rPr>
          <w:rFonts w:ascii="Times New Roman" w:hAnsi="Times New Roman" w:cs="Times New Roman"/>
          <w:sz w:val="20"/>
          <w:szCs w:val="20"/>
        </w:rPr>
      </w:pPr>
      <w:r w:rsidRPr="009C6517">
        <w:rPr>
          <w:rFonts w:ascii="Times New Roman" w:hAnsi="Times New Roman" w:cs="Times New Roman"/>
          <w:sz w:val="20"/>
          <w:szCs w:val="20"/>
        </w:rPr>
        <w:t>Analysis of demographic and clinical characteristics</w:t>
      </w:r>
      <w:r w:rsidR="00B20EE5">
        <w:rPr>
          <w:rFonts w:ascii="Times New Roman" w:hAnsi="Times New Roman" w:cs="Times New Roman"/>
          <w:sz w:val="20"/>
          <w:szCs w:val="20"/>
        </w:rPr>
        <w:t xml:space="preserve"> (Table 1) </w:t>
      </w:r>
      <w:r w:rsidRPr="009C6517">
        <w:rPr>
          <w:rFonts w:ascii="Times New Roman" w:hAnsi="Times New Roman" w:cs="Times New Roman"/>
          <w:sz w:val="20"/>
          <w:szCs w:val="20"/>
        </w:rPr>
        <w:t xml:space="preserve">of infants with EUGR </w:t>
      </w:r>
      <w:r w:rsidR="00B20EE5">
        <w:rPr>
          <w:rFonts w:ascii="Times New Roman" w:hAnsi="Times New Roman" w:cs="Times New Roman"/>
          <w:sz w:val="20"/>
          <w:szCs w:val="20"/>
        </w:rPr>
        <w:t>before and after nutritional intervention</w:t>
      </w:r>
      <w:r w:rsidRPr="009C6517">
        <w:rPr>
          <w:rFonts w:ascii="Times New Roman" w:hAnsi="Times New Roman" w:cs="Times New Roman"/>
          <w:sz w:val="20"/>
          <w:szCs w:val="20"/>
        </w:rPr>
        <w:t xml:space="preserve"> showed no statistically significant differences</w:t>
      </w:r>
      <w:r w:rsidR="00D1014D">
        <w:rPr>
          <w:rFonts w:ascii="Times New Roman" w:hAnsi="Times New Roman" w:cs="Times New Roman"/>
          <w:sz w:val="20"/>
          <w:szCs w:val="20"/>
        </w:rPr>
        <w:t xml:space="preserve"> between the two cohorts</w:t>
      </w:r>
      <w:r w:rsidRPr="00747A19">
        <w:rPr>
          <w:rFonts w:ascii="Times New Roman" w:hAnsi="Times New Roman" w:cs="Times New Roman"/>
          <w:sz w:val="20"/>
          <w:szCs w:val="20"/>
        </w:rPr>
        <w:t xml:space="preserve">. </w:t>
      </w:r>
      <w:r>
        <w:rPr>
          <w:rFonts w:ascii="Times New Roman" w:hAnsi="Times New Roman" w:cs="Times New Roman"/>
          <w:sz w:val="20"/>
          <w:szCs w:val="20"/>
        </w:rPr>
        <w:t xml:space="preserve"> </w:t>
      </w:r>
      <w:r w:rsidR="00560FF9" w:rsidRPr="00507200">
        <w:rPr>
          <w:rFonts w:ascii="Times New Roman" w:hAnsi="Times New Roman" w:cs="Times New Roman"/>
          <w:sz w:val="20"/>
          <w:szCs w:val="20"/>
        </w:rPr>
        <w:t xml:space="preserve">Pre-protocol, only weight percentiles and z-scores were </w:t>
      </w:r>
      <w:r w:rsidR="00A01E05" w:rsidRPr="00507200">
        <w:rPr>
          <w:rFonts w:ascii="Times New Roman" w:hAnsi="Times New Roman" w:cs="Times New Roman"/>
          <w:sz w:val="20"/>
          <w:szCs w:val="20"/>
        </w:rPr>
        <w:t xml:space="preserve">statistically </w:t>
      </w:r>
      <w:r w:rsidR="00560FF9" w:rsidRPr="00507200">
        <w:rPr>
          <w:rFonts w:ascii="Times New Roman" w:hAnsi="Times New Roman" w:cs="Times New Roman"/>
          <w:sz w:val="20"/>
          <w:szCs w:val="20"/>
        </w:rPr>
        <w:t xml:space="preserve">significant. </w:t>
      </w:r>
      <w:r w:rsidR="00A01E05" w:rsidRPr="00507200">
        <w:rPr>
          <w:rFonts w:ascii="Times New Roman" w:hAnsi="Times New Roman" w:cs="Times New Roman"/>
          <w:sz w:val="20"/>
          <w:szCs w:val="20"/>
        </w:rPr>
        <w:t>Post-protocol, the change in z-score was also statistically significant</w:t>
      </w:r>
      <w:r w:rsidR="00E5308B">
        <w:rPr>
          <w:rFonts w:ascii="Times New Roman" w:hAnsi="Times New Roman" w:cs="Times New Roman"/>
          <w:sz w:val="20"/>
          <w:szCs w:val="20"/>
        </w:rPr>
        <w:t>.</w:t>
      </w:r>
      <w:r w:rsidR="00A01E05" w:rsidRPr="00507200">
        <w:rPr>
          <w:rFonts w:ascii="Times New Roman" w:hAnsi="Times New Roman" w:cs="Times New Roman"/>
          <w:sz w:val="20"/>
          <w:szCs w:val="20"/>
        </w:rPr>
        <w:t xml:space="preserve"> </w:t>
      </w:r>
      <w:r w:rsidR="001B1AE3" w:rsidRPr="00507200">
        <w:rPr>
          <w:rFonts w:ascii="Times New Roman" w:hAnsi="Times New Roman" w:cs="Times New Roman"/>
          <w:sz w:val="20"/>
          <w:szCs w:val="20"/>
        </w:rPr>
        <w:t xml:space="preserve">We investigated potentially growth-related factors among infants who had </w:t>
      </w:r>
      <w:r w:rsidR="00A01E05" w:rsidRPr="00507200">
        <w:rPr>
          <w:rFonts w:ascii="Times New Roman" w:hAnsi="Times New Roman" w:cs="Times New Roman"/>
          <w:sz w:val="20"/>
          <w:szCs w:val="20"/>
        </w:rPr>
        <w:t>EUGR</w:t>
      </w:r>
      <w:r w:rsidR="001B1AE3" w:rsidRPr="00507200">
        <w:rPr>
          <w:rFonts w:ascii="Times New Roman" w:hAnsi="Times New Roman" w:cs="Times New Roman"/>
          <w:sz w:val="20"/>
          <w:szCs w:val="20"/>
        </w:rPr>
        <w:t xml:space="preserve">. The only factor found </w:t>
      </w:r>
      <w:r w:rsidR="00701ABD" w:rsidRPr="00507200">
        <w:rPr>
          <w:rFonts w:ascii="Times New Roman" w:hAnsi="Times New Roman" w:cs="Times New Roman"/>
          <w:sz w:val="20"/>
          <w:szCs w:val="20"/>
        </w:rPr>
        <w:t xml:space="preserve">to be statistically significantly different </w:t>
      </w:r>
      <w:r w:rsidR="001B1AE3" w:rsidRPr="00507200">
        <w:rPr>
          <w:rFonts w:ascii="Times New Roman" w:hAnsi="Times New Roman" w:cs="Times New Roman"/>
          <w:sz w:val="20"/>
          <w:szCs w:val="20"/>
        </w:rPr>
        <w:t>between was NEC (Figure 1).</w:t>
      </w:r>
      <w:r w:rsidR="008E6138">
        <w:rPr>
          <w:rFonts w:ascii="Times New Roman" w:hAnsi="Times New Roman" w:cs="Times New Roman"/>
          <w:sz w:val="20"/>
          <w:szCs w:val="20"/>
        </w:rPr>
        <w:t xml:space="preserve"> </w:t>
      </w:r>
      <w:r w:rsidR="00A01E05" w:rsidRPr="00507200">
        <w:rPr>
          <w:rFonts w:ascii="Times New Roman" w:hAnsi="Times New Roman" w:cs="Times New Roman"/>
          <w:sz w:val="20"/>
          <w:szCs w:val="20"/>
        </w:rPr>
        <w:t xml:space="preserve">Timing of growth failure </w:t>
      </w:r>
      <w:r w:rsidR="00A01E05" w:rsidRPr="00507200">
        <w:rPr>
          <w:rFonts w:ascii="Times New Roman" w:hAnsi="Times New Roman" w:cs="Times New Roman"/>
          <w:sz w:val="20"/>
          <w:szCs w:val="20"/>
        </w:rPr>
        <w:lastRenderedPageBreak/>
        <w:t>between the</w:t>
      </w:r>
      <w:r w:rsidR="008E6138">
        <w:rPr>
          <w:rFonts w:ascii="Times New Roman" w:hAnsi="Times New Roman" w:cs="Times New Roman"/>
          <w:sz w:val="20"/>
          <w:szCs w:val="20"/>
        </w:rPr>
        <w:t xml:space="preserve">se </w:t>
      </w:r>
      <w:r w:rsidR="00036CBC" w:rsidRPr="00507200">
        <w:rPr>
          <w:rFonts w:ascii="Times New Roman" w:hAnsi="Times New Roman" w:cs="Times New Roman"/>
          <w:sz w:val="20"/>
          <w:szCs w:val="20"/>
        </w:rPr>
        <w:t xml:space="preserve">two groups was also compared. Of note, </w:t>
      </w:r>
      <w:r w:rsidR="00AF2D17" w:rsidRPr="00507200">
        <w:rPr>
          <w:rFonts w:ascii="Times New Roman" w:hAnsi="Times New Roman" w:cs="Times New Roman"/>
          <w:sz w:val="20"/>
          <w:szCs w:val="20"/>
        </w:rPr>
        <w:t xml:space="preserve">timing of </w:t>
      </w:r>
      <w:r w:rsidR="00036CBC" w:rsidRPr="00507200">
        <w:rPr>
          <w:rFonts w:ascii="Times New Roman" w:hAnsi="Times New Roman" w:cs="Times New Roman"/>
          <w:sz w:val="20"/>
          <w:szCs w:val="20"/>
        </w:rPr>
        <w:t>EUGR in the pre-protocol groups occurred between 33-35 weeks, wh</w:t>
      </w:r>
      <w:r w:rsidR="00AF2D17" w:rsidRPr="00507200">
        <w:rPr>
          <w:rFonts w:ascii="Times New Roman" w:hAnsi="Times New Roman" w:cs="Times New Roman"/>
          <w:sz w:val="20"/>
          <w:szCs w:val="20"/>
        </w:rPr>
        <w:t>ile</w:t>
      </w:r>
      <w:r w:rsidR="00036CBC" w:rsidRPr="00507200">
        <w:rPr>
          <w:rFonts w:ascii="Times New Roman" w:hAnsi="Times New Roman" w:cs="Times New Roman"/>
          <w:sz w:val="20"/>
          <w:szCs w:val="20"/>
        </w:rPr>
        <w:t xml:space="preserve"> in the post-protocol group EUGR occurred between 32 and 37 weeks (Figure 2)</w:t>
      </w:r>
      <w:r w:rsidR="00AF2D17" w:rsidRPr="00507200">
        <w:rPr>
          <w:rFonts w:ascii="Times New Roman" w:hAnsi="Times New Roman" w:cs="Times New Roman"/>
          <w:sz w:val="20"/>
          <w:szCs w:val="20"/>
        </w:rPr>
        <w:t>.</w:t>
      </w:r>
    </w:p>
    <w:p w14:paraId="6F23C538" w14:textId="16D3C3F6" w:rsidR="001B1AE3" w:rsidRPr="00507200" w:rsidRDefault="001B1AE3" w:rsidP="00747A19">
      <w:pPr>
        <w:spacing w:line="360" w:lineRule="auto"/>
        <w:ind w:firstLine="720"/>
        <w:rPr>
          <w:rFonts w:ascii="Times New Roman" w:hAnsi="Times New Roman" w:cs="Times New Roman"/>
          <w:sz w:val="20"/>
          <w:szCs w:val="20"/>
        </w:rPr>
      </w:pPr>
      <w:r w:rsidRPr="00507200">
        <w:rPr>
          <w:rFonts w:ascii="Times New Roman" w:hAnsi="Times New Roman" w:cs="Times New Roman"/>
          <w:sz w:val="20"/>
          <w:szCs w:val="20"/>
        </w:rPr>
        <w:t xml:space="preserve">Logistic regression </w:t>
      </w:r>
      <w:r w:rsidR="00701ABD" w:rsidRPr="00507200">
        <w:rPr>
          <w:rFonts w:ascii="Times New Roman" w:hAnsi="Times New Roman" w:cs="Times New Roman"/>
          <w:sz w:val="20"/>
          <w:szCs w:val="20"/>
        </w:rPr>
        <w:t xml:space="preserve">analysis </w:t>
      </w:r>
      <w:r w:rsidRPr="00507200">
        <w:rPr>
          <w:rFonts w:ascii="Times New Roman" w:hAnsi="Times New Roman" w:cs="Times New Roman"/>
          <w:sz w:val="20"/>
          <w:szCs w:val="20"/>
        </w:rPr>
        <w:t xml:space="preserve">was used to derive odds ratio (OR) of growth failure for infants </w:t>
      </w:r>
      <w:r w:rsidR="00A668BE" w:rsidRPr="00507200">
        <w:rPr>
          <w:rFonts w:ascii="Times New Roman" w:hAnsi="Times New Roman" w:cs="Times New Roman"/>
          <w:sz w:val="20"/>
          <w:szCs w:val="20"/>
        </w:rPr>
        <w:t xml:space="preserve">who </w:t>
      </w:r>
      <w:r w:rsidR="00701ABD" w:rsidRPr="00507200">
        <w:rPr>
          <w:rFonts w:ascii="Times New Roman" w:hAnsi="Times New Roman" w:cs="Times New Roman"/>
          <w:sz w:val="20"/>
          <w:szCs w:val="20"/>
        </w:rPr>
        <w:t xml:space="preserve">received </w:t>
      </w:r>
      <w:r w:rsidR="00A668BE" w:rsidRPr="00507200">
        <w:rPr>
          <w:rFonts w:ascii="Times New Roman" w:hAnsi="Times New Roman" w:cs="Times New Roman"/>
          <w:sz w:val="20"/>
          <w:szCs w:val="20"/>
        </w:rPr>
        <w:t xml:space="preserve">the nutritional </w:t>
      </w:r>
      <w:r w:rsidRPr="00507200">
        <w:rPr>
          <w:rFonts w:ascii="Times New Roman" w:hAnsi="Times New Roman" w:cs="Times New Roman"/>
          <w:sz w:val="20"/>
          <w:szCs w:val="20"/>
        </w:rPr>
        <w:t xml:space="preserve">intervention vs those </w:t>
      </w:r>
      <w:r w:rsidR="00A668BE" w:rsidRPr="00507200">
        <w:rPr>
          <w:rFonts w:ascii="Times New Roman" w:hAnsi="Times New Roman" w:cs="Times New Roman"/>
          <w:sz w:val="20"/>
          <w:szCs w:val="20"/>
        </w:rPr>
        <w:t xml:space="preserve">who did </w:t>
      </w:r>
      <w:r w:rsidRPr="00507200">
        <w:rPr>
          <w:rFonts w:ascii="Times New Roman" w:hAnsi="Times New Roman" w:cs="Times New Roman"/>
          <w:sz w:val="20"/>
          <w:szCs w:val="20"/>
        </w:rPr>
        <w:t xml:space="preserve">not, adjusted for sex, GA at birth, and birthweight %tile. Odds of growth failure was reduced by 53% (OR=0.47, 95% CL 0.24-0.95) for infants </w:t>
      </w:r>
      <w:r w:rsidR="00A668BE" w:rsidRPr="00507200">
        <w:rPr>
          <w:rFonts w:ascii="Times New Roman" w:hAnsi="Times New Roman" w:cs="Times New Roman"/>
          <w:sz w:val="20"/>
          <w:szCs w:val="20"/>
        </w:rPr>
        <w:t xml:space="preserve">in the </w:t>
      </w:r>
      <w:r w:rsidRPr="00507200">
        <w:rPr>
          <w:rFonts w:ascii="Times New Roman" w:hAnsi="Times New Roman" w:cs="Times New Roman"/>
          <w:sz w:val="20"/>
          <w:szCs w:val="20"/>
        </w:rPr>
        <w:t>intervention program, compared to those not in the program</w:t>
      </w:r>
      <w:r w:rsidR="00157FFE">
        <w:rPr>
          <w:rFonts w:ascii="Times New Roman" w:hAnsi="Times New Roman" w:cs="Times New Roman"/>
          <w:sz w:val="20"/>
          <w:szCs w:val="20"/>
        </w:rPr>
        <w:t xml:space="preserve"> </w:t>
      </w:r>
      <w:r w:rsidRPr="00507200">
        <w:rPr>
          <w:rFonts w:ascii="Times New Roman" w:hAnsi="Times New Roman" w:cs="Times New Roman"/>
          <w:sz w:val="20"/>
          <w:szCs w:val="20"/>
        </w:rPr>
        <w:t>(Table 3).</w:t>
      </w:r>
    </w:p>
    <w:p w14:paraId="09B01CCA" w14:textId="7A8D965B" w:rsidR="001B1AE3" w:rsidRPr="00507200" w:rsidRDefault="008E6138" w:rsidP="0062203C">
      <w:pPr>
        <w:spacing w:line="360" w:lineRule="auto"/>
        <w:rPr>
          <w:rFonts w:ascii="Times New Roman" w:hAnsi="Times New Roman" w:cs="Times New Roman"/>
          <w:sz w:val="20"/>
          <w:szCs w:val="20"/>
        </w:rPr>
      </w:pPr>
      <w:r>
        <w:rPr>
          <w:rFonts w:ascii="Times New Roman" w:hAnsi="Times New Roman" w:cs="Times New Roman"/>
          <w:sz w:val="20"/>
          <w:szCs w:val="20"/>
        </w:rPr>
        <w:tab/>
      </w:r>
      <w:r w:rsidR="001B1AE3" w:rsidRPr="00507200">
        <w:rPr>
          <w:rFonts w:ascii="Times New Roman" w:hAnsi="Times New Roman" w:cs="Times New Roman"/>
          <w:sz w:val="20"/>
          <w:szCs w:val="20"/>
        </w:rPr>
        <w:t xml:space="preserve">To </w:t>
      </w:r>
      <w:r w:rsidR="005B2C77" w:rsidRPr="00507200">
        <w:rPr>
          <w:rFonts w:ascii="Times New Roman" w:hAnsi="Times New Roman" w:cs="Times New Roman"/>
          <w:sz w:val="20"/>
          <w:szCs w:val="20"/>
        </w:rPr>
        <w:t>determine</w:t>
      </w:r>
      <w:r w:rsidR="001B1AE3" w:rsidRPr="00507200">
        <w:rPr>
          <w:rFonts w:ascii="Times New Roman" w:hAnsi="Times New Roman" w:cs="Times New Roman"/>
          <w:sz w:val="20"/>
          <w:szCs w:val="20"/>
        </w:rPr>
        <w:t xml:space="preserve"> </w:t>
      </w:r>
      <w:r>
        <w:rPr>
          <w:rFonts w:ascii="Times New Roman" w:hAnsi="Times New Roman" w:cs="Times New Roman"/>
          <w:sz w:val="20"/>
          <w:szCs w:val="20"/>
        </w:rPr>
        <w:t>potential f</w:t>
      </w:r>
      <w:r w:rsidR="001B1AE3" w:rsidRPr="00507200">
        <w:rPr>
          <w:rFonts w:ascii="Times New Roman" w:hAnsi="Times New Roman" w:cs="Times New Roman"/>
          <w:sz w:val="20"/>
          <w:szCs w:val="20"/>
        </w:rPr>
        <w:t xml:space="preserve">actors associated with weight loss from birth to discharge among infants with </w:t>
      </w:r>
      <w:r w:rsidR="005B2C77" w:rsidRPr="00507200">
        <w:rPr>
          <w:rFonts w:ascii="Times New Roman" w:hAnsi="Times New Roman" w:cs="Times New Roman"/>
          <w:sz w:val="20"/>
          <w:szCs w:val="20"/>
        </w:rPr>
        <w:t>EUGR</w:t>
      </w:r>
      <w:r w:rsidR="001B1AE3" w:rsidRPr="00507200">
        <w:rPr>
          <w:rFonts w:ascii="Times New Roman" w:hAnsi="Times New Roman" w:cs="Times New Roman"/>
          <w:sz w:val="20"/>
          <w:szCs w:val="20"/>
        </w:rPr>
        <w:t xml:space="preserve">, we modeled the change in weight %tile (birth weight – discharge weight) using multivariate ordinary least square </w:t>
      </w:r>
      <w:r w:rsidR="00A668BE" w:rsidRPr="00507200">
        <w:rPr>
          <w:rFonts w:ascii="Times New Roman" w:hAnsi="Times New Roman" w:cs="Times New Roman"/>
          <w:sz w:val="20"/>
          <w:szCs w:val="20"/>
        </w:rPr>
        <w:t xml:space="preserve">regression analysis </w:t>
      </w:r>
      <w:r w:rsidR="001B1AE3" w:rsidRPr="00507200">
        <w:rPr>
          <w:rFonts w:ascii="Times New Roman" w:hAnsi="Times New Roman" w:cs="Times New Roman"/>
          <w:sz w:val="20"/>
          <w:szCs w:val="20"/>
        </w:rPr>
        <w:t>with</w:t>
      </w:r>
      <w:r w:rsidR="00A668BE" w:rsidRPr="00507200">
        <w:rPr>
          <w:rFonts w:ascii="Times New Roman" w:hAnsi="Times New Roman" w:cs="Times New Roman"/>
          <w:sz w:val="20"/>
          <w:szCs w:val="20"/>
        </w:rPr>
        <w:t xml:space="preserve"> possible </w:t>
      </w:r>
      <w:r w:rsidR="001B1AE3" w:rsidRPr="00507200">
        <w:rPr>
          <w:rFonts w:ascii="Times New Roman" w:hAnsi="Times New Roman" w:cs="Times New Roman"/>
          <w:sz w:val="20"/>
          <w:szCs w:val="20"/>
        </w:rPr>
        <w:t>predictors listed in Table 4. Birth weight %tile, NEC, and “constitutionally small” were associated with greater weight loss (p&lt;0.05), while GA at birth was associated with less weight loss (p=0.05).</w:t>
      </w:r>
    </w:p>
    <w:p w14:paraId="1D05FC63" w14:textId="77777777" w:rsidR="001B1AE3" w:rsidRPr="00507200" w:rsidRDefault="001B1AE3" w:rsidP="00747A19">
      <w:pPr>
        <w:spacing w:line="360" w:lineRule="auto"/>
        <w:rPr>
          <w:rFonts w:ascii="Times New Roman" w:hAnsi="Times New Roman" w:cs="Times New Roman"/>
          <w:sz w:val="20"/>
          <w:szCs w:val="20"/>
        </w:rPr>
      </w:pPr>
    </w:p>
    <w:p w14:paraId="3787070B" w14:textId="1F808FC3" w:rsidR="00041AD3" w:rsidRPr="00157FFE" w:rsidRDefault="00041AD3" w:rsidP="00747A19">
      <w:pPr>
        <w:spacing w:line="360" w:lineRule="auto"/>
        <w:rPr>
          <w:rFonts w:ascii="Times New Roman" w:hAnsi="Times New Roman" w:cs="Times New Roman"/>
          <w:b/>
          <w:bCs/>
          <w:sz w:val="20"/>
          <w:szCs w:val="20"/>
        </w:rPr>
      </w:pPr>
      <w:r w:rsidRPr="00157FFE">
        <w:rPr>
          <w:rFonts w:ascii="Times New Roman" w:hAnsi="Times New Roman" w:cs="Times New Roman"/>
          <w:b/>
          <w:bCs/>
          <w:sz w:val="20"/>
          <w:szCs w:val="20"/>
        </w:rPr>
        <w:t>Discussion</w:t>
      </w:r>
    </w:p>
    <w:p w14:paraId="73ACA2C3" w14:textId="4E7A549B" w:rsidR="00856C3E" w:rsidRPr="00507200" w:rsidRDefault="00856C3E" w:rsidP="00747A19">
      <w:pPr>
        <w:pStyle w:val="Default"/>
        <w:spacing w:line="360" w:lineRule="auto"/>
        <w:ind w:firstLine="720"/>
        <w:rPr>
          <w:sz w:val="20"/>
          <w:szCs w:val="20"/>
        </w:rPr>
      </w:pPr>
      <w:r w:rsidRPr="009C6517">
        <w:rPr>
          <w:color w:val="auto"/>
          <w:sz w:val="20"/>
          <w:szCs w:val="20"/>
        </w:rPr>
        <w:t>Reducing the risk of EUGR has become a significant area of both clinical and quality improvement research. Previously</w:t>
      </w:r>
      <w:r w:rsidRPr="009C6517">
        <w:rPr>
          <w:sz w:val="20"/>
          <w:szCs w:val="20"/>
        </w:rPr>
        <w:t>,</w:t>
      </w:r>
      <w:r w:rsidR="00A668BE" w:rsidRPr="009C6517">
        <w:rPr>
          <w:sz w:val="20"/>
          <w:szCs w:val="20"/>
        </w:rPr>
        <w:t xml:space="preserve"> clinicians at </w:t>
      </w:r>
      <w:r w:rsidRPr="009C6517">
        <w:rPr>
          <w:color w:val="auto"/>
          <w:sz w:val="20"/>
          <w:szCs w:val="20"/>
        </w:rPr>
        <w:t>the University of Massachusetts Memorial Medical Center NICU w</w:t>
      </w:r>
      <w:r w:rsidR="00A668BE" w:rsidRPr="009C6517">
        <w:rPr>
          <w:color w:val="auto"/>
          <w:sz w:val="20"/>
          <w:szCs w:val="20"/>
        </w:rPr>
        <w:t xml:space="preserve">ere </w:t>
      </w:r>
      <w:r w:rsidRPr="00747A19">
        <w:rPr>
          <w:color w:val="auto"/>
          <w:sz w:val="20"/>
          <w:szCs w:val="20"/>
        </w:rPr>
        <w:t xml:space="preserve">able to significantly reduce EUGR at discharge through </w:t>
      </w:r>
      <w:r w:rsidRPr="00747A19">
        <w:rPr>
          <w:sz w:val="20"/>
          <w:szCs w:val="20"/>
        </w:rPr>
        <w:t xml:space="preserve">multiple </w:t>
      </w:r>
      <w:r w:rsidR="006E1223" w:rsidRPr="00747A19">
        <w:rPr>
          <w:color w:val="auto"/>
          <w:sz w:val="20"/>
          <w:szCs w:val="20"/>
        </w:rPr>
        <w:t xml:space="preserve">quality improvement </w:t>
      </w:r>
      <w:r w:rsidRPr="00747A19">
        <w:rPr>
          <w:color w:val="auto"/>
          <w:sz w:val="20"/>
          <w:szCs w:val="20"/>
        </w:rPr>
        <w:t>initiatives that targeted early enteral feeding</w:t>
      </w:r>
      <w:r w:rsidRPr="00747A19">
        <w:rPr>
          <w:sz w:val="20"/>
          <w:szCs w:val="20"/>
        </w:rPr>
        <w:t xml:space="preserve">, </w:t>
      </w:r>
      <w:r w:rsidRPr="00747A19">
        <w:rPr>
          <w:color w:val="auto"/>
          <w:sz w:val="20"/>
          <w:szCs w:val="20"/>
        </w:rPr>
        <w:t>more rapi</w:t>
      </w:r>
      <w:r w:rsidRPr="00A63E15">
        <w:rPr>
          <w:color w:val="auto"/>
          <w:sz w:val="20"/>
          <w:szCs w:val="20"/>
        </w:rPr>
        <w:t>d caloric fortification</w:t>
      </w:r>
      <w:r w:rsidRPr="00A63E15">
        <w:rPr>
          <w:sz w:val="20"/>
          <w:szCs w:val="20"/>
        </w:rPr>
        <w:t xml:space="preserve">, </w:t>
      </w:r>
      <w:r w:rsidRPr="00A63E15">
        <w:rPr>
          <w:color w:val="auto"/>
          <w:sz w:val="20"/>
          <w:szCs w:val="20"/>
        </w:rPr>
        <w:t xml:space="preserve">and volume advancement. </w:t>
      </w:r>
      <w:r w:rsidR="0024335A" w:rsidRPr="00A63E15">
        <w:rPr>
          <w:sz w:val="20"/>
          <w:szCs w:val="20"/>
        </w:rPr>
        <w:t>(</w:t>
      </w:r>
      <w:r w:rsidRPr="00A63E15">
        <w:rPr>
          <w:sz w:val="20"/>
          <w:szCs w:val="20"/>
        </w:rPr>
        <w:t>1</w:t>
      </w:r>
      <w:r w:rsidR="0024335A" w:rsidRPr="00A63E15">
        <w:rPr>
          <w:sz w:val="20"/>
          <w:szCs w:val="20"/>
        </w:rPr>
        <w:t>8</w:t>
      </w:r>
      <w:r w:rsidRPr="00A63E15">
        <w:rPr>
          <w:sz w:val="20"/>
          <w:szCs w:val="20"/>
        </w:rPr>
        <w:t>)</w:t>
      </w:r>
      <w:r w:rsidRPr="00A63E15">
        <w:rPr>
          <w:color w:val="auto"/>
          <w:sz w:val="20"/>
          <w:szCs w:val="20"/>
        </w:rPr>
        <w:t xml:space="preserve"> The EUGR rate at discharge subsequently showed a significant reduction from </w:t>
      </w:r>
      <w:r w:rsidR="00930FD3" w:rsidRPr="00507200">
        <w:rPr>
          <w:color w:val="auto"/>
          <w:sz w:val="20"/>
          <w:szCs w:val="20"/>
        </w:rPr>
        <w:t>22</w:t>
      </w:r>
      <w:r w:rsidRPr="00507200">
        <w:rPr>
          <w:color w:val="auto"/>
          <w:sz w:val="20"/>
          <w:szCs w:val="20"/>
        </w:rPr>
        <w:t xml:space="preserve">% to </w:t>
      </w:r>
      <w:r w:rsidR="00930FD3" w:rsidRPr="00507200">
        <w:rPr>
          <w:color w:val="auto"/>
          <w:sz w:val="20"/>
          <w:szCs w:val="20"/>
        </w:rPr>
        <w:t>9</w:t>
      </w:r>
      <w:r w:rsidRPr="00507200">
        <w:rPr>
          <w:color w:val="auto"/>
          <w:sz w:val="20"/>
          <w:szCs w:val="20"/>
        </w:rPr>
        <w:t xml:space="preserve">% after implementing a targeted volume increase protocol between </w:t>
      </w:r>
      <w:r w:rsidRPr="00507200">
        <w:rPr>
          <w:sz w:val="20"/>
          <w:szCs w:val="20"/>
        </w:rPr>
        <w:t>31 0/7 and 34 0/7 weeks PMA (19</w:t>
      </w:r>
      <w:r w:rsidR="00930FD3" w:rsidRPr="00507200">
        <w:rPr>
          <w:sz w:val="20"/>
          <w:szCs w:val="20"/>
        </w:rPr>
        <w:t>). The goal of th</w:t>
      </w:r>
      <w:r w:rsidR="00A668BE" w:rsidRPr="00507200">
        <w:rPr>
          <w:sz w:val="20"/>
          <w:szCs w:val="20"/>
        </w:rPr>
        <w:t xml:space="preserve">e present </w:t>
      </w:r>
      <w:r w:rsidR="00930FD3" w:rsidRPr="00507200">
        <w:rPr>
          <w:sz w:val="20"/>
          <w:szCs w:val="20"/>
        </w:rPr>
        <w:t xml:space="preserve">study was to examine the characteristics of infants who failed the volume and caloric supplementation protocols to identify potential causes of continued </w:t>
      </w:r>
      <w:r w:rsidR="005B2C77" w:rsidRPr="00507200">
        <w:rPr>
          <w:sz w:val="20"/>
          <w:szCs w:val="20"/>
        </w:rPr>
        <w:t>EUGR</w:t>
      </w:r>
      <w:r w:rsidR="00930FD3" w:rsidRPr="00507200">
        <w:rPr>
          <w:sz w:val="20"/>
          <w:szCs w:val="20"/>
        </w:rPr>
        <w:t xml:space="preserve"> in infants born AGA. </w:t>
      </w:r>
      <w:r w:rsidR="00F163E2" w:rsidRPr="00507200">
        <w:rPr>
          <w:sz w:val="20"/>
          <w:szCs w:val="20"/>
        </w:rPr>
        <w:t xml:space="preserve"> </w:t>
      </w:r>
    </w:p>
    <w:p w14:paraId="4B71A780" w14:textId="049B3600" w:rsidR="000670E1" w:rsidRPr="00A63E15" w:rsidRDefault="000670E1" w:rsidP="00747A19">
      <w:pPr>
        <w:pStyle w:val="Default"/>
        <w:spacing w:line="360" w:lineRule="auto"/>
        <w:ind w:firstLine="720"/>
        <w:rPr>
          <w:sz w:val="20"/>
          <w:szCs w:val="20"/>
        </w:rPr>
      </w:pPr>
      <w:r w:rsidRPr="009C6517">
        <w:rPr>
          <w:sz w:val="20"/>
          <w:szCs w:val="20"/>
        </w:rPr>
        <w:t xml:space="preserve">Our </w:t>
      </w:r>
      <w:r w:rsidR="00A668BE" w:rsidRPr="009C6517">
        <w:rPr>
          <w:sz w:val="20"/>
          <w:szCs w:val="20"/>
        </w:rPr>
        <w:t xml:space="preserve">findings </w:t>
      </w:r>
      <w:r w:rsidRPr="009C6517">
        <w:rPr>
          <w:sz w:val="20"/>
          <w:szCs w:val="20"/>
        </w:rPr>
        <w:t xml:space="preserve">confirmed </w:t>
      </w:r>
      <w:r w:rsidR="00A668BE" w:rsidRPr="009C6517">
        <w:rPr>
          <w:sz w:val="20"/>
          <w:szCs w:val="20"/>
        </w:rPr>
        <w:t>the presence of s</w:t>
      </w:r>
      <w:r w:rsidRPr="009C6517">
        <w:rPr>
          <w:sz w:val="20"/>
          <w:szCs w:val="20"/>
        </w:rPr>
        <w:t xml:space="preserve">everal factors </w:t>
      </w:r>
      <w:r w:rsidR="00A668BE" w:rsidRPr="009C6517">
        <w:rPr>
          <w:sz w:val="20"/>
          <w:szCs w:val="20"/>
        </w:rPr>
        <w:t xml:space="preserve">that have been previously shown to </w:t>
      </w:r>
      <w:r w:rsidRPr="009C6517">
        <w:rPr>
          <w:sz w:val="20"/>
          <w:szCs w:val="20"/>
        </w:rPr>
        <w:t>increase risk for EUGR, including male sex, lower gestational age, lower birth weight, and the occurrence of NEC. It also identified a</w:t>
      </w:r>
      <w:r w:rsidR="0001519C" w:rsidRPr="009C6517">
        <w:rPr>
          <w:sz w:val="20"/>
          <w:szCs w:val="20"/>
        </w:rPr>
        <w:t xml:space="preserve">n additional risk factor, that of being born “constitutionally small”.  Previously, it was understood that infants born SGA were more likely be discharged with EUGR, but to our knowledge no studies had </w:t>
      </w:r>
      <w:r w:rsidR="0001519C" w:rsidRPr="00747A19">
        <w:rPr>
          <w:sz w:val="20"/>
          <w:szCs w:val="20"/>
        </w:rPr>
        <w:t>identified that infants born just above the 10</w:t>
      </w:r>
      <w:r w:rsidR="0001519C" w:rsidRPr="00747A19">
        <w:rPr>
          <w:sz w:val="20"/>
          <w:szCs w:val="20"/>
          <w:vertAlign w:val="superscript"/>
        </w:rPr>
        <w:t>th</w:t>
      </w:r>
      <w:r w:rsidR="0001519C" w:rsidRPr="00747A19">
        <w:rPr>
          <w:sz w:val="20"/>
          <w:szCs w:val="20"/>
        </w:rPr>
        <w:t xml:space="preserve"> percentile on the Fenton growth curve were at higher risk for EUGR. </w:t>
      </w:r>
    </w:p>
    <w:p w14:paraId="4CD62A8F" w14:textId="3B6745E9" w:rsidR="00632B9F" w:rsidRPr="00507200" w:rsidRDefault="00522CC6" w:rsidP="00747A19">
      <w:pPr>
        <w:pStyle w:val="Default"/>
        <w:spacing w:line="360" w:lineRule="auto"/>
        <w:ind w:firstLine="720"/>
        <w:rPr>
          <w:sz w:val="20"/>
          <w:szCs w:val="20"/>
        </w:rPr>
      </w:pPr>
      <w:r>
        <w:rPr>
          <w:sz w:val="20"/>
          <w:szCs w:val="20"/>
        </w:rPr>
        <w:t>I</w:t>
      </w:r>
      <w:r w:rsidR="000D460D" w:rsidRPr="00507200">
        <w:rPr>
          <w:sz w:val="20"/>
          <w:szCs w:val="20"/>
        </w:rPr>
        <w:t>n our analysis</w:t>
      </w:r>
      <w:r>
        <w:rPr>
          <w:sz w:val="20"/>
          <w:szCs w:val="20"/>
        </w:rPr>
        <w:t xml:space="preserve"> comparing infants </w:t>
      </w:r>
      <w:r w:rsidR="00E5308B">
        <w:rPr>
          <w:sz w:val="20"/>
          <w:szCs w:val="20"/>
        </w:rPr>
        <w:t>w</w:t>
      </w:r>
      <w:r>
        <w:rPr>
          <w:sz w:val="20"/>
          <w:szCs w:val="20"/>
        </w:rPr>
        <w:t xml:space="preserve">ith EUGR before and after nutritional intervention, we found two </w:t>
      </w:r>
      <w:r w:rsidR="0062203C">
        <w:rPr>
          <w:sz w:val="20"/>
          <w:szCs w:val="20"/>
        </w:rPr>
        <w:t xml:space="preserve">changes in statistical significance. </w:t>
      </w:r>
      <w:r w:rsidR="000D460D" w:rsidRPr="00507200">
        <w:rPr>
          <w:sz w:val="20"/>
          <w:szCs w:val="20"/>
        </w:rPr>
        <w:t xml:space="preserve">First, in the post-protocol cohort, the change in z-score was statistically significant in addition to birth weight percentile and z-score and discharge weight percentile in z-score. </w:t>
      </w:r>
      <w:r w:rsidR="0001519C" w:rsidRPr="00507200">
        <w:rPr>
          <w:sz w:val="20"/>
          <w:szCs w:val="20"/>
        </w:rPr>
        <w:t xml:space="preserve">Additionally, </w:t>
      </w:r>
      <w:r w:rsidR="00795659" w:rsidRPr="00507200">
        <w:rPr>
          <w:sz w:val="20"/>
          <w:szCs w:val="20"/>
        </w:rPr>
        <w:t xml:space="preserve">the time at which EUGR occurred was also impacted by the volume supplementation protocol. The window </w:t>
      </w:r>
      <w:r w:rsidR="000D460D" w:rsidRPr="00507200">
        <w:rPr>
          <w:sz w:val="20"/>
          <w:szCs w:val="20"/>
        </w:rPr>
        <w:t>in which EUGR occurred as well as the interquartile range</w:t>
      </w:r>
      <w:r w:rsidR="00795659" w:rsidRPr="00507200">
        <w:rPr>
          <w:sz w:val="20"/>
          <w:szCs w:val="20"/>
        </w:rPr>
        <w:t xml:space="preserve"> was significantly widened </w:t>
      </w:r>
      <w:r w:rsidR="000D460D" w:rsidRPr="00507200">
        <w:rPr>
          <w:sz w:val="20"/>
          <w:szCs w:val="20"/>
        </w:rPr>
        <w:t>according to our data. These data suggest that the volume supplementation protocol successfully addressed the causes of EUGR in some infants, but other mechanisms may</w:t>
      </w:r>
      <w:r w:rsidR="00464F96" w:rsidRPr="00507200">
        <w:rPr>
          <w:sz w:val="20"/>
          <w:szCs w:val="20"/>
        </w:rPr>
        <w:t xml:space="preserve"> have occurred </w:t>
      </w:r>
      <w:r w:rsidR="000D460D" w:rsidRPr="00507200">
        <w:rPr>
          <w:sz w:val="20"/>
          <w:szCs w:val="20"/>
        </w:rPr>
        <w:t xml:space="preserve">in infants </w:t>
      </w:r>
      <w:r w:rsidR="00F1622A" w:rsidRPr="00507200">
        <w:rPr>
          <w:sz w:val="20"/>
          <w:szCs w:val="20"/>
        </w:rPr>
        <w:t xml:space="preserve">who </w:t>
      </w:r>
      <w:r w:rsidR="00464F96" w:rsidRPr="00507200">
        <w:rPr>
          <w:sz w:val="20"/>
          <w:szCs w:val="20"/>
        </w:rPr>
        <w:t xml:space="preserve">were still </w:t>
      </w:r>
      <w:r w:rsidR="00F1622A" w:rsidRPr="00507200">
        <w:rPr>
          <w:sz w:val="20"/>
          <w:szCs w:val="20"/>
        </w:rPr>
        <w:t>discharged with EUGR post-protocol.</w:t>
      </w:r>
    </w:p>
    <w:p w14:paraId="701EE1A3" w14:textId="77777777" w:rsidR="00E5308B" w:rsidRDefault="00E5308B" w:rsidP="00E5308B">
      <w:pPr>
        <w:pStyle w:val="Default"/>
        <w:spacing w:line="360" w:lineRule="auto"/>
        <w:rPr>
          <w:b/>
          <w:bCs/>
          <w:sz w:val="20"/>
          <w:szCs w:val="20"/>
        </w:rPr>
      </w:pPr>
    </w:p>
    <w:p w14:paraId="3E312AA3" w14:textId="03F1D902" w:rsidR="00464F96" w:rsidRPr="00556444" w:rsidRDefault="00464F96" w:rsidP="00E5308B">
      <w:pPr>
        <w:pStyle w:val="Default"/>
        <w:spacing w:line="360" w:lineRule="auto"/>
        <w:ind w:firstLine="720"/>
        <w:rPr>
          <w:b/>
          <w:bCs/>
          <w:sz w:val="20"/>
          <w:szCs w:val="20"/>
        </w:rPr>
      </w:pPr>
      <w:r w:rsidRPr="00556444">
        <w:rPr>
          <w:b/>
          <w:bCs/>
          <w:sz w:val="20"/>
          <w:szCs w:val="20"/>
        </w:rPr>
        <w:t>Study strengths and limitations</w:t>
      </w:r>
    </w:p>
    <w:p w14:paraId="0DE7A502" w14:textId="58F9FEBA" w:rsidR="0001519C" w:rsidRPr="009C6517" w:rsidRDefault="00157FFE" w:rsidP="00747A19">
      <w:pPr>
        <w:pStyle w:val="Default"/>
        <w:spacing w:line="360" w:lineRule="auto"/>
        <w:ind w:firstLine="720"/>
        <w:rPr>
          <w:sz w:val="20"/>
          <w:szCs w:val="20"/>
        </w:rPr>
      </w:pPr>
      <w:r w:rsidRPr="00507200">
        <w:rPr>
          <w:sz w:val="20"/>
          <w:szCs w:val="20"/>
        </w:rPr>
        <w:t>Strengths</w:t>
      </w:r>
      <w:r w:rsidR="00632B9F" w:rsidRPr="00507200">
        <w:rPr>
          <w:sz w:val="20"/>
          <w:szCs w:val="20"/>
        </w:rPr>
        <w:t xml:space="preserve"> of this study include the large, longitudinal sample size as well as the high degree of granular nutritional data collected. Limitations of the study include retrospective data collection, lack of randomization, and </w:t>
      </w:r>
      <w:r w:rsidR="00632B9F" w:rsidRPr="00507200">
        <w:rPr>
          <w:sz w:val="20"/>
          <w:szCs w:val="20"/>
        </w:rPr>
        <w:lastRenderedPageBreak/>
        <w:t>failure to collect matching granular nutritional data on the non-EUGR infants</w:t>
      </w:r>
      <w:r w:rsidR="008E6138">
        <w:rPr>
          <w:sz w:val="20"/>
          <w:szCs w:val="20"/>
        </w:rPr>
        <w:t>. L</w:t>
      </w:r>
      <w:r w:rsidR="00701ABD" w:rsidRPr="009C6517">
        <w:rPr>
          <w:sz w:val="20"/>
          <w:szCs w:val="20"/>
        </w:rPr>
        <w:t xml:space="preserve">ack of certain data </w:t>
      </w:r>
      <w:r w:rsidR="008E6138">
        <w:rPr>
          <w:sz w:val="20"/>
          <w:szCs w:val="20"/>
        </w:rPr>
        <w:t xml:space="preserve">in both maternal and paternal history is also a potential limitation. </w:t>
      </w:r>
      <w:r w:rsidR="00632B9F" w:rsidRPr="009C6517">
        <w:rPr>
          <w:sz w:val="20"/>
          <w:szCs w:val="20"/>
        </w:rPr>
        <w:t>One potentially significant limitation is the use of discharge weight less than the 10</w:t>
      </w:r>
      <w:r w:rsidR="00632B9F" w:rsidRPr="009C6517">
        <w:rPr>
          <w:sz w:val="20"/>
          <w:szCs w:val="20"/>
          <w:vertAlign w:val="superscript"/>
        </w:rPr>
        <w:t>th</w:t>
      </w:r>
      <w:r w:rsidR="00632B9F" w:rsidRPr="009C6517">
        <w:rPr>
          <w:sz w:val="20"/>
          <w:szCs w:val="20"/>
        </w:rPr>
        <w:t xml:space="preserve"> percentile as the definition of EUGR. Recent literature has suggested that defining EUGR as a decrease in z-score of more than 0.8 addresses the issue of infants born SGA, as by this definition each infant acts as its own control. </w:t>
      </w:r>
    </w:p>
    <w:p w14:paraId="1DA216F9" w14:textId="3A51AD97" w:rsidR="00464F96" w:rsidRPr="00556444" w:rsidRDefault="00464F96" w:rsidP="00747A19">
      <w:pPr>
        <w:pStyle w:val="Default"/>
        <w:spacing w:line="360" w:lineRule="auto"/>
        <w:ind w:firstLine="720"/>
        <w:rPr>
          <w:b/>
          <w:bCs/>
          <w:sz w:val="20"/>
          <w:szCs w:val="20"/>
        </w:rPr>
      </w:pPr>
      <w:r w:rsidRPr="00556444">
        <w:rPr>
          <w:b/>
          <w:bCs/>
          <w:sz w:val="20"/>
          <w:szCs w:val="20"/>
        </w:rPr>
        <w:t xml:space="preserve">Conclusions </w:t>
      </w:r>
    </w:p>
    <w:p w14:paraId="007A4355" w14:textId="19BA01BF" w:rsidR="00632B9F" w:rsidRPr="00507200" w:rsidRDefault="00632B9F" w:rsidP="00747A19">
      <w:pPr>
        <w:pStyle w:val="Default"/>
        <w:spacing w:line="360" w:lineRule="auto"/>
        <w:ind w:firstLine="720"/>
        <w:rPr>
          <w:sz w:val="20"/>
          <w:szCs w:val="20"/>
        </w:rPr>
      </w:pPr>
      <w:r w:rsidRPr="00747A19">
        <w:rPr>
          <w:sz w:val="20"/>
          <w:szCs w:val="20"/>
        </w:rPr>
        <w:t xml:space="preserve">Future directions of research include comparison of granular nutritional data for the entire cohort to elucidate other potential causes of EUGR, </w:t>
      </w:r>
      <w:r w:rsidR="00464F96" w:rsidRPr="00747A19">
        <w:rPr>
          <w:sz w:val="20"/>
          <w:szCs w:val="20"/>
        </w:rPr>
        <w:t xml:space="preserve">use of different working definitions of </w:t>
      </w:r>
      <w:r w:rsidRPr="00A63E15">
        <w:rPr>
          <w:sz w:val="20"/>
          <w:szCs w:val="20"/>
        </w:rPr>
        <w:t>EUGR, and tracking of the z-score through hospitalization to identify infants at risk for EUGR earlier so that interventions have a greater chance of success.</w:t>
      </w:r>
    </w:p>
    <w:p w14:paraId="1B6ED338" w14:textId="77777777" w:rsidR="000D460D" w:rsidRPr="00507200" w:rsidRDefault="000D460D" w:rsidP="00747A19">
      <w:pPr>
        <w:pStyle w:val="Default"/>
        <w:spacing w:line="360" w:lineRule="auto"/>
        <w:ind w:firstLine="720"/>
        <w:rPr>
          <w:sz w:val="20"/>
          <w:szCs w:val="20"/>
        </w:rPr>
      </w:pPr>
    </w:p>
    <w:p w14:paraId="1198E5CE" w14:textId="77777777" w:rsidR="001578C1" w:rsidRPr="007D43CA" w:rsidRDefault="00041AD3" w:rsidP="00747A19">
      <w:pPr>
        <w:spacing w:line="360" w:lineRule="auto"/>
        <w:rPr>
          <w:rFonts w:ascii="Times New Roman" w:hAnsi="Times New Roman" w:cs="Times New Roman"/>
          <w:sz w:val="20"/>
          <w:szCs w:val="20"/>
        </w:rPr>
      </w:pPr>
      <w:r w:rsidRPr="007D43CA">
        <w:rPr>
          <w:rFonts w:ascii="Times New Roman" w:hAnsi="Times New Roman" w:cs="Times New Roman"/>
          <w:sz w:val="20"/>
          <w:szCs w:val="20"/>
        </w:rPr>
        <w:t>References</w:t>
      </w:r>
    </w:p>
    <w:p w14:paraId="32D954DE" w14:textId="1B445AF8" w:rsidR="001578C1" w:rsidRPr="009C6517" w:rsidRDefault="00041AD3" w:rsidP="00747A19">
      <w:pPr>
        <w:pStyle w:val="ListParagraph"/>
        <w:numPr>
          <w:ilvl w:val="0"/>
          <w:numId w:val="4"/>
        </w:numPr>
        <w:spacing w:line="360" w:lineRule="auto"/>
        <w:rPr>
          <w:rFonts w:ascii="Times New Roman" w:hAnsi="Times New Roman" w:cs="Times New Roman"/>
          <w:sz w:val="20"/>
          <w:szCs w:val="20"/>
        </w:rPr>
      </w:pPr>
      <w:proofErr w:type="spellStart"/>
      <w:r w:rsidRPr="009C6517">
        <w:rPr>
          <w:rFonts w:ascii="Times New Roman" w:hAnsi="Times New Roman" w:cs="Times New Roman"/>
          <w:sz w:val="20"/>
          <w:szCs w:val="20"/>
        </w:rPr>
        <w:t>Ehrenkranz</w:t>
      </w:r>
      <w:proofErr w:type="spellEnd"/>
      <w:r w:rsidRPr="009C6517">
        <w:rPr>
          <w:rFonts w:ascii="Times New Roman" w:hAnsi="Times New Roman" w:cs="Times New Roman"/>
          <w:sz w:val="20"/>
          <w:szCs w:val="20"/>
        </w:rPr>
        <w:t xml:space="preserve"> RA, </w:t>
      </w:r>
      <w:proofErr w:type="spellStart"/>
      <w:r w:rsidRPr="009C6517">
        <w:rPr>
          <w:rFonts w:ascii="Times New Roman" w:hAnsi="Times New Roman" w:cs="Times New Roman"/>
          <w:sz w:val="20"/>
          <w:szCs w:val="20"/>
        </w:rPr>
        <w:t>Dusick</w:t>
      </w:r>
      <w:proofErr w:type="spellEnd"/>
      <w:r w:rsidRPr="009C6517">
        <w:rPr>
          <w:rFonts w:ascii="Times New Roman" w:hAnsi="Times New Roman" w:cs="Times New Roman"/>
          <w:sz w:val="20"/>
          <w:szCs w:val="20"/>
        </w:rPr>
        <w:t xml:space="preserve"> AM, </w:t>
      </w:r>
      <w:proofErr w:type="spellStart"/>
      <w:r w:rsidRPr="009C6517">
        <w:rPr>
          <w:rFonts w:ascii="Times New Roman" w:hAnsi="Times New Roman" w:cs="Times New Roman"/>
          <w:sz w:val="20"/>
          <w:szCs w:val="20"/>
        </w:rPr>
        <w:t>Vohr</w:t>
      </w:r>
      <w:proofErr w:type="spellEnd"/>
      <w:r w:rsidRPr="009C6517">
        <w:rPr>
          <w:rFonts w:ascii="Times New Roman" w:hAnsi="Times New Roman" w:cs="Times New Roman"/>
          <w:sz w:val="20"/>
          <w:szCs w:val="20"/>
        </w:rPr>
        <w:t xml:space="preserve"> BR, Wright LL, </w:t>
      </w:r>
      <w:proofErr w:type="spellStart"/>
      <w:r w:rsidRPr="009C6517">
        <w:rPr>
          <w:rFonts w:ascii="Times New Roman" w:hAnsi="Times New Roman" w:cs="Times New Roman"/>
          <w:sz w:val="20"/>
          <w:szCs w:val="20"/>
        </w:rPr>
        <w:t>Wrage</w:t>
      </w:r>
      <w:proofErr w:type="spellEnd"/>
      <w:r w:rsidRPr="009C6517">
        <w:rPr>
          <w:rFonts w:ascii="Times New Roman" w:hAnsi="Times New Roman" w:cs="Times New Roman"/>
          <w:sz w:val="20"/>
          <w:szCs w:val="20"/>
        </w:rPr>
        <w:t xml:space="preserve"> LA, Poole WK. Growth in the neonatal intensive care unit influences neurodevelopmental and growth outcomes of extremely low birth weight infants. </w:t>
      </w:r>
      <w:r w:rsidRPr="00C01277">
        <w:rPr>
          <w:rFonts w:ascii="Times New Roman" w:hAnsi="Times New Roman" w:cs="Times New Roman"/>
          <w:i/>
          <w:iCs/>
          <w:sz w:val="20"/>
          <w:szCs w:val="20"/>
        </w:rPr>
        <w:t xml:space="preserve">Pediatrics. </w:t>
      </w:r>
      <w:r w:rsidRPr="009C6517">
        <w:rPr>
          <w:rFonts w:ascii="Times New Roman" w:hAnsi="Times New Roman" w:cs="Times New Roman"/>
          <w:sz w:val="20"/>
          <w:szCs w:val="20"/>
        </w:rPr>
        <w:t xml:space="preserve">2006;117(4):1253-1261. </w:t>
      </w:r>
    </w:p>
    <w:p w14:paraId="68C86986" w14:textId="77777777" w:rsidR="001578C1" w:rsidRPr="009C6517" w:rsidRDefault="00041AD3" w:rsidP="00747A19">
      <w:pPr>
        <w:pStyle w:val="ListParagraph"/>
        <w:numPr>
          <w:ilvl w:val="0"/>
          <w:numId w:val="4"/>
        </w:num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 Stephens BE, Walden RV, </w:t>
      </w:r>
      <w:proofErr w:type="spellStart"/>
      <w:r w:rsidRPr="009C6517">
        <w:rPr>
          <w:rFonts w:ascii="Times New Roman" w:hAnsi="Times New Roman" w:cs="Times New Roman"/>
          <w:sz w:val="20"/>
          <w:szCs w:val="20"/>
        </w:rPr>
        <w:t>Gargus</w:t>
      </w:r>
      <w:proofErr w:type="spellEnd"/>
      <w:r w:rsidRPr="009C6517">
        <w:rPr>
          <w:rFonts w:ascii="Times New Roman" w:hAnsi="Times New Roman" w:cs="Times New Roman"/>
          <w:sz w:val="20"/>
          <w:szCs w:val="20"/>
        </w:rPr>
        <w:t xml:space="preserve"> RA, et al. First-week protein and energy intakes are associated with 18-month developmental outcomes in extremely low birth weight infants. </w:t>
      </w:r>
      <w:r w:rsidRPr="00C01277">
        <w:rPr>
          <w:rFonts w:ascii="Times New Roman" w:hAnsi="Times New Roman" w:cs="Times New Roman"/>
          <w:i/>
          <w:iCs/>
          <w:sz w:val="20"/>
          <w:szCs w:val="20"/>
        </w:rPr>
        <w:t xml:space="preserve">Pediatrics. </w:t>
      </w:r>
      <w:r w:rsidRPr="009C6517">
        <w:rPr>
          <w:rFonts w:ascii="Times New Roman" w:hAnsi="Times New Roman" w:cs="Times New Roman"/>
          <w:sz w:val="20"/>
          <w:szCs w:val="20"/>
        </w:rPr>
        <w:t xml:space="preserve">2009;123(5):1337-1343. </w:t>
      </w:r>
    </w:p>
    <w:p w14:paraId="3845256B" w14:textId="64CAF31B" w:rsidR="001578C1" w:rsidRPr="009C6517" w:rsidRDefault="00041AD3" w:rsidP="00747A19">
      <w:pPr>
        <w:pStyle w:val="ListParagraph"/>
        <w:numPr>
          <w:ilvl w:val="0"/>
          <w:numId w:val="4"/>
        </w:num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Franz AR, </w:t>
      </w:r>
      <w:proofErr w:type="spellStart"/>
      <w:r w:rsidRPr="009C6517">
        <w:rPr>
          <w:rFonts w:ascii="Times New Roman" w:hAnsi="Times New Roman" w:cs="Times New Roman"/>
          <w:sz w:val="20"/>
          <w:szCs w:val="20"/>
        </w:rPr>
        <w:t>Pohlandt</w:t>
      </w:r>
      <w:proofErr w:type="spellEnd"/>
      <w:r w:rsidRPr="009C6517">
        <w:rPr>
          <w:rFonts w:ascii="Times New Roman" w:hAnsi="Times New Roman" w:cs="Times New Roman"/>
          <w:sz w:val="20"/>
          <w:szCs w:val="20"/>
        </w:rPr>
        <w:t xml:space="preserve"> F, Bode H, et al. Intrauterine, early neonatal, and </w:t>
      </w:r>
      <w:proofErr w:type="spellStart"/>
      <w:r w:rsidR="00AB5695" w:rsidRPr="009C6517">
        <w:rPr>
          <w:rFonts w:ascii="Times New Roman" w:hAnsi="Times New Roman" w:cs="Times New Roman"/>
          <w:sz w:val="20"/>
          <w:szCs w:val="20"/>
        </w:rPr>
        <w:t>postdischarge</w:t>
      </w:r>
      <w:proofErr w:type="spellEnd"/>
      <w:r w:rsidR="00AB5695" w:rsidRPr="009C6517">
        <w:rPr>
          <w:rFonts w:ascii="Times New Roman" w:hAnsi="Times New Roman" w:cs="Times New Roman"/>
          <w:sz w:val="20"/>
          <w:szCs w:val="20"/>
        </w:rPr>
        <w:t xml:space="preserve"> growth</w:t>
      </w:r>
      <w:r w:rsidRPr="009C6517">
        <w:rPr>
          <w:rFonts w:ascii="Times New Roman" w:hAnsi="Times New Roman" w:cs="Times New Roman"/>
          <w:sz w:val="20"/>
          <w:szCs w:val="20"/>
        </w:rPr>
        <w:t xml:space="preserve"> and neurodevelopmental outcome at 5.4 years in extremely preterm infants </w:t>
      </w:r>
      <w:r w:rsidR="00AB5695" w:rsidRPr="009C6517">
        <w:rPr>
          <w:rFonts w:ascii="Times New Roman" w:hAnsi="Times New Roman" w:cs="Times New Roman"/>
          <w:sz w:val="20"/>
          <w:szCs w:val="20"/>
        </w:rPr>
        <w:t>after intensive</w:t>
      </w:r>
      <w:r w:rsidRPr="009C6517">
        <w:rPr>
          <w:rFonts w:ascii="Times New Roman" w:hAnsi="Times New Roman" w:cs="Times New Roman"/>
          <w:sz w:val="20"/>
          <w:szCs w:val="20"/>
        </w:rPr>
        <w:t xml:space="preserve"> neonatal nutritional support. </w:t>
      </w:r>
      <w:r w:rsidRPr="00C01277">
        <w:rPr>
          <w:rFonts w:ascii="Times New Roman" w:hAnsi="Times New Roman" w:cs="Times New Roman"/>
          <w:i/>
          <w:iCs/>
          <w:sz w:val="20"/>
          <w:szCs w:val="20"/>
        </w:rPr>
        <w:t xml:space="preserve">Pediatrics. </w:t>
      </w:r>
      <w:r w:rsidRPr="009C6517">
        <w:rPr>
          <w:rFonts w:ascii="Times New Roman" w:hAnsi="Times New Roman" w:cs="Times New Roman"/>
          <w:sz w:val="20"/>
          <w:szCs w:val="20"/>
        </w:rPr>
        <w:t>2009;123(1):</w:t>
      </w:r>
      <w:r w:rsidR="00AB5695">
        <w:rPr>
          <w:rFonts w:ascii="Times New Roman" w:hAnsi="Times New Roman" w:cs="Times New Roman"/>
          <w:sz w:val="20"/>
          <w:szCs w:val="20"/>
        </w:rPr>
        <w:t xml:space="preserve"> </w:t>
      </w:r>
      <w:r w:rsidRPr="009C6517">
        <w:rPr>
          <w:rFonts w:ascii="Times New Roman" w:hAnsi="Times New Roman" w:cs="Times New Roman"/>
          <w:sz w:val="20"/>
          <w:szCs w:val="20"/>
        </w:rPr>
        <w:t xml:space="preserve">e101-e109. </w:t>
      </w:r>
    </w:p>
    <w:p w14:paraId="2EFBA276" w14:textId="4C3BAB25" w:rsidR="001578C1" w:rsidRPr="009C6517" w:rsidRDefault="00041AD3" w:rsidP="00747A19">
      <w:pPr>
        <w:pStyle w:val="ListParagraph"/>
        <w:numPr>
          <w:ilvl w:val="0"/>
          <w:numId w:val="4"/>
        </w:num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Martin CR, Brown YF, </w:t>
      </w:r>
      <w:proofErr w:type="spellStart"/>
      <w:r w:rsidRPr="009C6517">
        <w:rPr>
          <w:rFonts w:ascii="Times New Roman" w:hAnsi="Times New Roman" w:cs="Times New Roman"/>
          <w:sz w:val="20"/>
          <w:szCs w:val="20"/>
        </w:rPr>
        <w:t>Ehrenkranz</w:t>
      </w:r>
      <w:proofErr w:type="spellEnd"/>
      <w:r w:rsidRPr="009C6517">
        <w:rPr>
          <w:rFonts w:ascii="Times New Roman" w:hAnsi="Times New Roman" w:cs="Times New Roman"/>
          <w:sz w:val="20"/>
          <w:szCs w:val="20"/>
        </w:rPr>
        <w:t xml:space="preserve"> RA, et al. Nutritional practices and growth velocity </w:t>
      </w:r>
      <w:r w:rsidR="00AB5695" w:rsidRPr="009C6517">
        <w:rPr>
          <w:rFonts w:ascii="Times New Roman" w:hAnsi="Times New Roman" w:cs="Times New Roman"/>
          <w:sz w:val="20"/>
          <w:szCs w:val="20"/>
        </w:rPr>
        <w:t>in the</w:t>
      </w:r>
      <w:r w:rsidRPr="009C6517">
        <w:rPr>
          <w:rFonts w:ascii="Times New Roman" w:hAnsi="Times New Roman" w:cs="Times New Roman"/>
          <w:sz w:val="20"/>
          <w:szCs w:val="20"/>
        </w:rPr>
        <w:t xml:space="preserve"> first month of life in extremely premature infants. </w:t>
      </w:r>
      <w:r w:rsidRPr="00C01277">
        <w:rPr>
          <w:rFonts w:ascii="Times New Roman" w:hAnsi="Times New Roman" w:cs="Times New Roman"/>
          <w:i/>
          <w:iCs/>
          <w:sz w:val="20"/>
          <w:szCs w:val="20"/>
        </w:rPr>
        <w:t xml:space="preserve">Pediatrics. </w:t>
      </w:r>
      <w:r w:rsidRPr="009C6517">
        <w:rPr>
          <w:rFonts w:ascii="Times New Roman" w:hAnsi="Times New Roman" w:cs="Times New Roman"/>
          <w:sz w:val="20"/>
          <w:szCs w:val="20"/>
        </w:rPr>
        <w:t>2009;124(2):649-657.</w:t>
      </w:r>
    </w:p>
    <w:p w14:paraId="13F034C8" w14:textId="77777777" w:rsidR="001578C1" w:rsidRPr="009C6517" w:rsidRDefault="00D42534" w:rsidP="00747A19">
      <w:pPr>
        <w:pStyle w:val="ListParagraph"/>
        <w:numPr>
          <w:ilvl w:val="0"/>
          <w:numId w:val="4"/>
        </w:numPr>
        <w:spacing w:line="360" w:lineRule="auto"/>
        <w:rPr>
          <w:rFonts w:ascii="Times New Roman" w:hAnsi="Times New Roman" w:cs="Times New Roman"/>
          <w:sz w:val="20"/>
          <w:szCs w:val="20"/>
        </w:rPr>
      </w:pPr>
      <w:r w:rsidRPr="009C6517">
        <w:rPr>
          <w:rFonts w:ascii="Times New Roman" w:eastAsia="Times New Roman" w:hAnsi="Times New Roman" w:cs="Times New Roman"/>
          <w:color w:val="222222"/>
          <w:sz w:val="20"/>
          <w:szCs w:val="20"/>
          <w:shd w:val="clear" w:color="auto" w:fill="FFFFFF"/>
          <w:lang w:val="es-ES"/>
        </w:rPr>
        <w:t xml:space="preserve">Martínez-Jiménez, M. D., et al. </w:t>
      </w:r>
      <w:r w:rsidRPr="009C6517">
        <w:rPr>
          <w:rFonts w:ascii="Times New Roman" w:eastAsia="Times New Roman" w:hAnsi="Times New Roman" w:cs="Times New Roman"/>
          <w:color w:val="222222"/>
          <w:sz w:val="20"/>
          <w:szCs w:val="20"/>
          <w:shd w:val="clear" w:color="auto" w:fill="FFFFFF"/>
        </w:rPr>
        <w:t>"Comorbidities in childhood associated with extrauterine growth restriction in preterm infants: a scoping review." </w:t>
      </w:r>
      <w:r w:rsidRPr="00C01277">
        <w:rPr>
          <w:rFonts w:ascii="Times New Roman" w:eastAsia="Times New Roman" w:hAnsi="Times New Roman" w:cs="Times New Roman"/>
          <w:i/>
          <w:iCs/>
          <w:color w:val="222222"/>
          <w:sz w:val="20"/>
          <w:szCs w:val="20"/>
          <w:shd w:val="clear" w:color="auto" w:fill="FFFFFF"/>
        </w:rPr>
        <w:t>European Journal of Pediatrics</w:t>
      </w:r>
      <w:r w:rsidRPr="009C6517">
        <w:rPr>
          <w:rFonts w:ascii="Times New Roman" w:eastAsia="Times New Roman" w:hAnsi="Times New Roman" w:cs="Times New Roman"/>
          <w:color w:val="222222"/>
          <w:sz w:val="20"/>
          <w:szCs w:val="20"/>
          <w:shd w:val="clear" w:color="auto" w:fill="FFFFFF"/>
        </w:rPr>
        <w:t> (2020): 1-11.</w:t>
      </w:r>
    </w:p>
    <w:p w14:paraId="75532EFC" w14:textId="35634DB2" w:rsidR="001578C1" w:rsidRPr="009C6517" w:rsidRDefault="00041AD3" w:rsidP="00747A19">
      <w:pPr>
        <w:pStyle w:val="ListParagraph"/>
        <w:numPr>
          <w:ilvl w:val="0"/>
          <w:numId w:val="4"/>
        </w:num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Cooke R, Ainsworth S, Fenton A. Postnatal growth retardation: a universal problem in 299 preterm infants. </w:t>
      </w:r>
      <w:r w:rsidRPr="00C01277">
        <w:rPr>
          <w:rFonts w:ascii="Times New Roman" w:hAnsi="Times New Roman" w:cs="Times New Roman"/>
          <w:i/>
          <w:iCs/>
          <w:sz w:val="20"/>
          <w:szCs w:val="20"/>
        </w:rPr>
        <w:t xml:space="preserve">Archives of Disease in Childhood-Fetal and Neonatal Edition. </w:t>
      </w:r>
      <w:r w:rsidRPr="009C6517">
        <w:rPr>
          <w:rFonts w:ascii="Times New Roman" w:hAnsi="Times New Roman" w:cs="Times New Roman"/>
          <w:sz w:val="20"/>
          <w:szCs w:val="20"/>
        </w:rPr>
        <w:t>300 2004;89(5):</w:t>
      </w:r>
      <w:r w:rsidR="00AB5695">
        <w:rPr>
          <w:rFonts w:ascii="Times New Roman" w:hAnsi="Times New Roman" w:cs="Times New Roman"/>
          <w:sz w:val="20"/>
          <w:szCs w:val="20"/>
        </w:rPr>
        <w:t xml:space="preserve"> </w:t>
      </w:r>
      <w:r w:rsidRPr="009C6517">
        <w:rPr>
          <w:rFonts w:ascii="Times New Roman" w:hAnsi="Times New Roman" w:cs="Times New Roman"/>
          <w:sz w:val="20"/>
          <w:szCs w:val="20"/>
        </w:rPr>
        <w:t>F428-F430.</w:t>
      </w:r>
    </w:p>
    <w:p w14:paraId="464232BE" w14:textId="77777777" w:rsidR="001578C1" w:rsidRPr="009C6517" w:rsidRDefault="00041AD3" w:rsidP="00747A19">
      <w:pPr>
        <w:pStyle w:val="ListParagraph"/>
        <w:numPr>
          <w:ilvl w:val="0"/>
          <w:numId w:val="4"/>
        </w:numPr>
        <w:spacing w:line="360" w:lineRule="auto"/>
        <w:rPr>
          <w:rFonts w:ascii="Times New Roman" w:hAnsi="Times New Roman" w:cs="Times New Roman"/>
          <w:sz w:val="20"/>
          <w:szCs w:val="20"/>
        </w:rPr>
      </w:pPr>
      <w:r w:rsidRPr="009C6517">
        <w:rPr>
          <w:rFonts w:ascii="Times New Roman" w:eastAsia="Times New Roman" w:hAnsi="Times New Roman" w:cs="Times New Roman"/>
          <w:color w:val="222222"/>
          <w:sz w:val="20"/>
          <w:szCs w:val="20"/>
          <w:shd w:val="clear" w:color="auto" w:fill="FFFFFF"/>
        </w:rPr>
        <w:t>Griffin, Ian J., et al. "Postnatal growth failure in very low birthweight infants born between 2005 and 2012." </w:t>
      </w:r>
      <w:r w:rsidRPr="00C01277">
        <w:rPr>
          <w:rFonts w:ascii="Times New Roman" w:eastAsia="Times New Roman" w:hAnsi="Times New Roman" w:cs="Times New Roman"/>
          <w:i/>
          <w:iCs/>
          <w:color w:val="222222"/>
          <w:sz w:val="20"/>
          <w:szCs w:val="20"/>
          <w:shd w:val="clear" w:color="auto" w:fill="FFFFFF"/>
        </w:rPr>
        <w:t>Archives of Disease in Childhood-Fetal and Neonatal Edition</w:t>
      </w:r>
      <w:r w:rsidRPr="009C6517">
        <w:rPr>
          <w:rFonts w:ascii="Times New Roman" w:eastAsia="Times New Roman" w:hAnsi="Times New Roman" w:cs="Times New Roman"/>
          <w:color w:val="222222"/>
          <w:sz w:val="20"/>
          <w:szCs w:val="20"/>
          <w:shd w:val="clear" w:color="auto" w:fill="FFFFFF"/>
        </w:rPr>
        <w:t> 101.1 (2016): 50-55.</w:t>
      </w:r>
    </w:p>
    <w:p w14:paraId="0DB457B7" w14:textId="4F43F1DA" w:rsidR="001578C1" w:rsidRPr="009C6517" w:rsidRDefault="00D4216E" w:rsidP="00747A19">
      <w:pPr>
        <w:pStyle w:val="ListParagraph"/>
        <w:numPr>
          <w:ilvl w:val="0"/>
          <w:numId w:val="4"/>
        </w:num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Glass HC, </w:t>
      </w:r>
      <w:proofErr w:type="spellStart"/>
      <w:r w:rsidRPr="009C6517">
        <w:rPr>
          <w:rFonts w:ascii="Times New Roman" w:hAnsi="Times New Roman" w:cs="Times New Roman"/>
          <w:sz w:val="20"/>
          <w:szCs w:val="20"/>
        </w:rPr>
        <w:t>Costarino</w:t>
      </w:r>
      <w:proofErr w:type="spellEnd"/>
      <w:r w:rsidRPr="009C6517">
        <w:rPr>
          <w:rFonts w:ascii="Times New Roman" w:hAnsi="Times New Roman" w:cs="Times New Roman"/>
          <w:sz w:val="20"/>
          <w:szCs w:val="20"/>
        </w:rPr>
        <w:t xml:space="preserve"> AT, Stayer SA, Brett C, </w:t>
      </w:r>
      <w:proofErr w:type="spellStart"/>
      <w:r w:rsidRPr="009C6517">
        <w:rPr>
          <w:rFonts w:ascii="Times New Roman" w:hAnsi="Times New Roman" w:cs="Times New Roman"/>
          <w:sz w:val="20"/>
          <w:szCs w:val="20"/>
        </w:rPr>
        <w:t>Cladis</w:t>
      </w:r>
      <w:proofErr w:type="spellEnd"/>
      <w:r w:rsidRPr="009C6517">
        <w:rPr>
          <w:rFonts w:ascii="Times New Roman" w:hAnsi="Times New Roman" w:cs="Times New Roman"/>
          <w:sz w:val="20"/>
          <w:szCs w:val="20"/>
        </w:rPr>
        <w:t xml:space="preserve"> F, Davis PJ. Outcomes for extremely premature infants. </w:t>
      </w:r>
      <w:r w:rsidRPr="00C01277">
        <w:rPr>
          <w:rFonts w:ascii="Times New Roman" w:hAnsi="Times New Roman" w:cs="Times New Roman"/>
          <w:i/>
          <w:iCs/>
          <w:sz w:val="20"/>
          <w:szCs w:val="20"/>
        </w:rPr>
        <w:t xml:space="preserve">Anesthesia and analgesia. </w:t>
      </w:r>
      <w:r w:rsidRPr="009C6517">
        <w:rPr>
          <w:rFonts w:ascii="Times New Roman" w:hAnsi="Times New Roman" w:cs="Times New Roman"/>
          <w:sz w:val="20"/>
          <w:szCs w:val="20"/>
        </w:rPr>
        <w:t>2015;120(6):1337.</w:t>
      </w:r>
    </w:p>
    <w:p w14:paraId="75FBF3DC" w14:textId="77777777" w:rsidR="00C11A5A" w:rsidRPr="009C6517" w:rsidRDefault="00C11A5A" w:rsidP="00747A19">
      <w:pPr>
        <w:pStyle w:val="ListParagraph"/>
        <w:numPr>
          <w:ilvl w:val="0"/>
          <w:numId w:val="4"/>
        </w:numPr>
        <w:spacing w:line="360" w:lineRule="auto"/>
        <w:rPr>
          <w:rFonts w:ascii="Times New Roman" w:eastAsia="Times New Roman" w:hAnsi="Times New Roman" w:cs="Times New Roman"/>
          <w:sz w:val="20"/>
          <w:szCs w:val="20"/>
        </w:rPr>
      </w:pPr>
      <w:r w:rsidRPr="009C6517">
        <w:rPr>
          <w:rFonts w:ascii="Times New Roman" w:eastAsia="Times New Roman" w:hAnsi="Times New Roman" w:cs="Times New Roman"/>
          <w:color w:val="222222"/>
          <w:sz w:val="20"/>
          <w:szCs w:val="20"/>
          <w:shd w:val="clear" w:color="auto" w:fill="FFFFFF"/>
          <w:lang w:val="es-ES"/>
        </w:rPr>
        <w:t>Figueras-</w:t>
      </w:r>
      <w:proofErr w:type="spellStart"/>
      <w:r w:rsidRPr="009C6517">
        <w:rPr>
          <w:rFonts w:ascii="Times New Roman" w:eastAsia="Times New Roman" w:hAnsi="Times New Roman" w:cs="Times New Roman"/>
          <w:color w:val="222222"/>
          <w:sz w:val="20"/>
          <w:szCs w:val="20"/>
          <w:shd w:val="clear" w:color="auto" w:fill="FFFFFF"/>
          <w:lang w:val="es-ES"/>
        </w:rPr>
        <w:t>Aloy</w:t>
      </w:r>
      <w:proofErr w:type="spellEnd"/>
      <w:r w:rsidRPr="009C6517">
        <w:rPr>
          <w:rFonts w:ascii="Times New Roman" w:eastAsia="Times New Roman" w:hAnsi="Times New Roman" w:cs="Times New Roman"/>
          <w:color w:val="222222"/>
          <w:sz w:val="20"/>
          <w:szCs w:val="20"/>
          <w:shd w:val="clear" w:color="auto" w:fill="FFFFFF"/>
          <w:lang w:val="es-ES"/>
        </w:rPr>
        <w:t xml:space="preserve">, Josep, et al. </w:t>
      </w:r>
      <w:r w:rsidRPr="009C6517">
        <w:rPr>
          <w:rFonts w:ascii="Times New Roman" w:eastAsia="Times New Roman" w:hAnsi="Times New Roman" w:cs="Times New Roman"/>
          <w:color w:val="222222"/>
          <w:sz w:val="20"/>
          <w:szCs w:val="20"/>
          <w:shd w:val="clear" w:color="auto" w:fill="FFFFFF"/>
        </w:rPr>
        <w:t>"Extrauterine growth restriction in very preterm infant: etiology, diagnosis, and 2-year follow-up." </w:t>
      </w:r>
      <w:r w:rsidRPr="00C01277">
        <w:rPr>
          <w:rFonts w:ascii="Times New Roman" w:eastAsia="Times New Roman" w:hAnsi="Times New Roman" w:cs="Times New Roman"/>
          <w:i/>
          <w:iCs/>
          <w:color w:val="222222"/>
          <w:sz w:val="20"/>
          <w:szCs w:val="20"/>
          <w:shd w:val="clear" w:color="auto" w:fill="FFFFFF"/>
        </w:rPr>
        <w:t>European Journal of Pediatrics</w:t>
      </w:r>
      <w:r w:rsidRPr="009C6517">
        <w:rPr>
          <w:rFonts w:ascii="Times New Roman" w:eastAsia="Times New Roman" w:hAnsi="Times New Roman" w:cs="Times New Roman"/>
          <w:color w:val="222222"/>
          <w:sz w:val="20"/>
          <w:szCs w:val="20"/>
          <w:shd w:val="clear" w:color="auto" w:fill="FFFFFF"/>
        </w:rPr>
        <w:t> (2020): 1-11.</w:t>
      </w:r>
    </w:p>
    <w:p w14:paraId="5DC746B1" w14:textId="77777777" w:rsidR="00C11A5A" w:rsidRPr="009C6517" w:rsidRDefault="00C11A5A" w:rsidP="00747A19">
      <w:pPr>
        <w:pStyle w:val="ListParagraph"/>
        <w:numPr>
          <w:ilvl w:val="0"/>
          <w:numId w:val="4"/>
        </w:numPr>
        <w:spacing w:line="360" w:lineRule="auto"/>
        <w:rPr>
          <w:rFonts w:ascii="Times New Roman" w:eastAsia="Times New Roman" w:hAnsi="Times New Roman" w:cs="Times New Roman"/>
          <w:sz w:val="20"/>
          <w:szCs w:val="20"/>
        </w:rPr>
      </w:pPr>
      <w:r w:rsidRPr="009C6517">
        <w:rPr>
          <w:rFonts w:ascii="Times New Roman" w:eastAsia="Times New Roman" w:hAnsi="Times New Roman" w:cs="Times New Roman"/>
          <w:color w:val="222222"/>
          <w:sz w:val="20"/>
          <w:szCs w:val="20"/>
          <w:shd w:val="clear" w:color="auto" w:fill="FFFFFF"/>
        </w:rPr>
        <w:t>Lee, Soon Min, et al. "Prediction of postnatal growth failure among very low birth weight infants." </w:t>
      </w:r>
      <w:r w:rsidRPr="00C01277">
        <w:rPr>
          <w:rFonts w:ascii="Times New Roman" w:eastAsia="Times New Roman" w:hAnsi="Times New Roman" w:cs="Times New Roman"/>
          <w:i/>
          <w:iCs/>
          <w:color w:val="222222"/>
          <w:sz w:val="20"/>
          <w:szCs w:val="20"/>
          <w:shd w:val="clear" w:color="auto" w:fill="FFFFFF"/>
        </w:rPr>
        <w:t>Scientific reports</w:t>
      </w:r>
      <w:r w:rsidRPr="009C6517">
        <w:rPr>
          <w:rFonts w:ascii="Times New Roman" w:eastAsia="Times New Roman" w:hAnsi="Times New Roman" w:cs="Times New Roman"/>
          <w:color w:val="222222"/>
          <w:sz w:val="20"/>
          <w:szCs w:val="20"/>
          <w:shd w:val="clear" w:color="auto" w:fill="FFFFFF"/>
        </w:rPr>
        <w:t> 8.1 (2018): 1-8.</w:t>
      </w:r>
    </w:p>
    <w:p w14:paraId="13F8B6D0" w14:textId="70A34491" w:rsidR="001578C1" w:rsidRPr="009C6517" w:rsidRDefault="00524FA2" w:rsidP="00747A19">
      <w:pPr>
        <w:pStyle w:val="ListParagraph"/>
        <w:numPr>
          <w:ilvl w:val="0"/>
          <w:numId w:val="4"/>
        </w:numPr>
        <w:spacing w:line="360" w:lineRule="auto"/>
        <w:rPr>
          <w:rFonts w:ascii="Times New Roman" w:hAnsi="Times New Roman" w:cs="Times New Roman"/>
          <w:sz w:val="20"/>
          <w:szCs w:val="20"/>
        </w:rPr>
      </w:pPr>
      <w:proofErr w:type="spellStart"/>
      <w:r w:rsidRPr="009C6517">
        <w:rPr>
          <w:rFonts w:ascii="Times New Roman" w:hAnsi="Times New Roman" w:cs="Times New Roman"/>
          <w:sz w:val="20"/>
          <w:szCs w:val="20"/>
        </w:rPr>
        <w:t>Patole</w:t>
      </w:r>
      <w:proofErr w:type="spellEnd"/>
      <w:r w:rsidRPr="009C6517">
        <w:rPr>
          <w:rFonts w:ascii="Times New Roman" w:hAnsi="Times New Roman" w:cs="Times New Roman"/>
          <w:sz w:val="20"/>
          <w:szCs w:val="20"/>
        </w:rPr>
        <w:t xml:space="preserve"> S, De Klerk N. Impact of standardi</w:t>
      </w:r>
      <w:r w:rsidR="006B29D5" w:rsidRPr="009C6517">
        <w:rPr>
          <w:rFonts w:ascii="Times New Roman" w:hAnsi="Times New Roman" w:cs="Times New Roman"/>
          <w:sz w:val="20"/>
          <w:szCs w:val="20"/>
        </w:rPr>
        <w:t>z</w:t>
      </w:r>
      <w:r w:rsidRPr="009C6517">
        <w:rPr>
          <w:rFonts w:ascii="Times New Roman" w:hAnsi="Times New Roman" w:cs="Times New Roman"/>
          <w:sz w:val="20"/>
          <w:szCs w:val="20"/>
        </w:rPr>
        <w:t xml:space="preserve">ed feeding regimens on incidence of neonatal </w:t>
      </w:r>
      <w:proofErr w:type="spellStart"/>
      <w:r w:rsidRPr="009C6517">
        <w:rPr>
          <w:rFonts w:ascii="Times New Roman" w:hAnsi="Times New Roman" w:cs="Times New Roman"/>
          <w:sz w:val="20"/>
          <w:szCs w:val="20"/>
        </w:rPr>
        <w:t>necrotising</w:t>
      </w:r>
      <w:proofErr w:type="spellEnd"/>
      <w:r w:rsidRPr="009C6517">
        <w:rPr>
          <w:rFonts w:ascii="Times New Roman" w:hAnsi="Times New Roman" w:cs="Times New Roman"/>
          <w:sz w:val="20"/>
          <w:szCs w:val="20"/>
        </w:rPr>
        <w:t xml:space="preserve"> enterocolitis: a systematic review and meta-analysis of observational studies. </w:t>
      </w:r>
      <w:r w:rsidRPr="00C01277">
        <w:rPr>
          <w:rFonts w:ascii="Times New Roman" w:hAnsi="Times New Roman" w:cs="Times New Roman"/>
          <w:i/>
          <w:iCs/>
          <w:sz w:val="20"/>
          <w:szCs w:val="20"/>
        </w:rPr>
        <w:t xml:space="preserve">Archives of Disease in Childhood-Fetal and Neonatal Edition. </w:t>
      </w:r>
      <w:r w:rsidRPr="009C6517">
        <w:rPr>
          <w:rFonts w:ascii="Times New Roman" w:hAnsi="Times New Roman" w:cs="Times New Roman"/>
          <w:sz w:val="20"/>
          <w:szCs w:val="20"/>
        </w:rPr>
        <w:t>2005;90(2</w:t>
      </w:r>
      <w:proofErr w:type="gramStart"/>
      <w:r w:rsidRPr="009C6517">
        <w:rPr>
          <w:rFonts w:ascii="Times New Roman" w:hAnsi="Times New Roman" w:cs="Times New Roman"/>
          <w:sz w:val="20"/>
          <w:szCs w:val="20"/>
        </w:rPr>
        <w:t>):F</w:t>
      </w:r>
      <w:proofErr w:type="gramEnd"/>
      <w:r w:rsidRPr="009C6517">
        <w:rPr>
          <w:rFonts w:ascii="Times New Roman" w:hAnsi="Times New Roman" w:cs="Times New Roman"/>
          <w:sz w:val="20"/>
          <w:szCs w:val="20"/>
        </w:rPr>
        <w:t xml:space="preserve">147-F151. </w:t>
      </w:r>
    </w:p>
    <w:p w14:paraId="40486298" w14:textId="77777777" w:rsidR="001578C1" w:rsidRPr="00747A19" w:rsidRDefault="001578C1" w:rsidP="00747A19">
      <w:pPr>
        <w:pStyle w:val="ListParagraph"/>
        <w:numPr>
          <w:ilvl w:val="0"/>
          <w:numId w:val="4"/>
        </w:numPr>
        <w:spacing w:line="360" w:lineRule="auto"/>
        <w:rPr>
          <w:rFonts w:ascii="Times New Roman" w:hAnsi="Times New Roman" w:cs="Times New Roman"/>
          <w:sz w:val="20"/>
          <w:szCs w:val="20"/>
        </w:rPr>
      </w:pPr>
      <w:proofErr w:type="spellStart"/>
      <w:r w:rsidRPr="00747A19">
        <w:rPr>
          <w:rFonts w:ascii="Times New Roman" w:eastAsia="Times New Roman" w:hAnsi="Times New Roman" w:cs="Times New Roman"/>
          <w:color w:val="333333"/>
          <w:sz w:val="20"/>
          <w:szCs w:val="20"/>
          <w:shd w:val="clear" w:color="auto" w:fill="FFFFFF"/>
        </w:rPr>
        <w:lastRenderedPageBreak/>
        <w:t>Embleton</w:t>
      </w:r>
      <w:proofErr w:type="spellEnd"/>
      <w:r w:rsidRPr="00747A19">
        <w:rPr>
          <w:rFonts w:ascii="Times New Roman" w:eastAsia="Times New Roman" w:hAnsi="Times New Roman" w:cs="Times New Roman"/>
          <w:color w:val="333333"/>
          <w:sz w:val="20"/>
          <w:szCs w:val="20"/>
          <w:shd w:val="clear" w:color="auto" w:fill="FFFFFF"/>
        </w:rPr>
        <w:t xml:space="preserve"> NE, Pang N, Cooke RJ. Postnatal malnutrition and growth retardation: an inevitable consequence of current recommendations in preterm infants? Pediatrics 2001; 107: 270-273</w:t>
      </w:r>
    </w:p>
    <w:p w14:paraId="2DA13AFC" w14:textId="105ECA87" w:rsidR="001578C1" w:rsidRPr="009C6517" w:rsidRDefault="00524FA2" w:rsidP="00747A19">
      <w:pPr>
        <w:pStyle w:val="ListParagraph"/>
        <w:numPr>
          <w:ilvl w:val="0"/>
          <w:numId w:val="4"/>
        </w:numPr>
        <w:spacing w:line="360" w:lineRule="auto"/>
        <w:rPr>
          <w:rFonts w:ascii="Times New Roman" w:hAnsi="Times New Roman" w:cs="Times New Roman"/>
          <w:sz w:val="20"/>
          <w:szCs w:val="20"/>
        </w:rPr>
      </w:pPr>
      <w:r w:rsidRPr="00507200">
        <w:rPr>
          <w:rFonts w:ascii="Times New Roman" w:hAnsi="Times New Roman" w:cs="Times New Roman"/>
          <w:sz w:val="20"/>
          <w:szCs w:val="20"/>
        </w:rPr>
        <w:t xml:space="preserve">Shah SD, </w:t>
      </w:r>
      <w:proofErr w:type="spellStart"/>
      <w:r w:rsidRPr="00507200">
        <w:rPr>
          <w:rFonts w:ascii="Times New Roman" w:hAnsi="Times New Roman" w:cs="Times New Roman"/>
          <w:sz w:val="20"/>
          <w:szCs w:val="20"/>
        </w:rPr>
        <w:t>Dereddy</w:t>
      </w:r>
      <w:proofErr w:type="spellEnd"/>
      <w:r w:rsidRPr="00507200">
        <w:rPr>
          <w:rFonts w:ascii="Times New Roman" w:hAnsi="Times New Roman" w:cs="Times New Roman"/>
          <w:sz w:val="20"/>
          <w:szCs w:val="20"/>
        </w:rPr>
        <w:t xml:space="preserve"> N, Jones TL, </w:t>
      </w:r>
      <w:proofErr w:type="spellStart"/>
      <w:r w:rsidRPr="00507200">
        <w:rPr>
          <w:rFonts w:ascii="Times New Roman" w:hAnsi="Times New Roman" w:cs="Times New Roman"/>
          <w:sz w:val="20"/>
          <w:szCs w:val="20"/>
        </w:rPr>
        <w:t>Dhanireddy</w:t>
      </w:r>
      <w:proofErr w:type="spellEnd"/>
      <w:r w:rsidRPr="00507200">
        <w:rPr>
          <w:rFonts w:ascii="Times New Roman" w:hAnsi="Times New Roman" w:cs="Times New Roman"/>
          <w:sz w:val="20"/>
          <w:szCs w:val="20"/>
        </w:rPr>
        <w:t xml:space="preserve"> R, </w:t>
      </w:r>
      <w:proofErr w:type="spellStart"/>
      <w:r w:rsidRPr="00507200">
        <w:rPr>
          <w:rFonts w:ascii="Times New Roman" w:hAnsi="Times New Roman" w:cs="Times New Roman"/>
          <w:sz w:val="20"/>
          <w:szCs w:val="20"/>
        </w:rPr>
        <w:t>Talati</w:t>
      </w:r>
      <w:proofErr w:type="spellEnd"/>
      <w:r w:rsidRPr="00507200">
        <w:rPr>
          <w:rFonts w:ascii="Times New Roman" w:hAnsi="Times New Roman" w:cs="Times New Roman"/>
          <w:sz w:val="20"/>
          <w:szCs w:val="20"/>
        </w:rPr>
        <w:t xml:space="preserve"> AJ. Early versus delayed human milk fortification in very low birth weight infants–a randomized controlled trial. </w:t>
      </w:r>
      <w:r w:rsidRPr="00C01277">
        <w:rPr>
          <w:rFonts w:ascii="Times New Roman" w:hAnsi="Times New Roman" w:cs="Times New Roman"/>
          <w:i/>
          <w:iCs/>
          <w:sz w:val="20"/>
          <w:szCs w:val="20"/>
        </w:rPr>
        <w:t>The</w:t>
      </w:r>
      <w:r w:rsidR="006B29D5" w:rsidRPr="00C01277">
        <w:rPr>
          <w:rFonts w:ascii="Times New Roman" w:hAnsi="Times New Roman" w:cs="Times New Roman"/>
          <w:i/>
          <w:iCs/>
          <w:sz w:val="20"/>
          <w:szCs w:val="20"/>
        </w:rPr>
        <w:t xml:space="preserve"> </w:t>
      </w:r>
      <w:r w:rsidRPr="00C01277">
        <w:rPr>
          <w:rFonts w:ascii="Times New Roman" w:hAnsi="Times New Roman" w:cs="Times New Roman"/>
          <w:i/>
          <w:iCs/>
          <w:sz w:val="20"/>
          <w:szCs w:val="20"/>
        </w:rPr>
        <w:t xml:space="preserve">Journal of pediatrics. </w:t>
      </w:r>
      <w:r w:rsidR="00AB5695" w:rsidRPr="009C6517">
        <w:rPr>
          <w:rFonts w:ascii="Times New Roman" w:hAnsi="Times New Roman" w:cs="Times New Roman"/>
          <w:sz w:val="20"/>
          <w:szCs w:val="20"/>
        </w:rPr>
        <w:t>2016; 174:126</w:t>
      </w:r>
      <w:r w:rsidRPr="009C6517">
        <w:rPr>
          <w:rFonts w:ascii="Times New Roman" w:hAnsi="Times New Roman" w:cs="Times New Roman"/>
          <w:sz w:val="20"/>
          <w:szCs w:val="20"/>
        </w:rPr>
        <w:t xml:space="preserve">-131. e121. 313 </w:t>
      </w:r>
    </w:p>
    <w:p w14:paraId="368E420C" w14:textId="287F11FE" w:rsidR="001578C1" w:rsidRPr="009C6517" w:rsidRDefault="00524FA2" w:rsidP="00747A19">
      <w:pPr>
        <w:pStyle w:val="ListParagraph"/>
        <w:numPr>
          <w:ilvl w:val="0"/>
          <w:numId w:val="4"/>
        </w:numPr>
        <w:spacing w:line="360" w:lineRule="auto"/>
        <w:rPr>
          <w:rFonts w:ascii="Times New Roman" w:hAnsi="Times New Roman" w:cs="Times New Roman"/>
          <w:sz w:val="20"/>
          <w:szCs w:val="20"/>
        </w:rPr>
      </w:pPr>
      <w:proofErr w:type="spellStart"/>
      <w:r w:rsidRPr="009C6517">
        <w:rPr>
          <w:rFonts w:ascii="Times New Roman" w:hAnsi="Times New Roman" w:cs="Times New Roman"/>
          <w:sz w:val="20"/>
          <w:szCs w:val="20"/>
        </w:rPr>
        <w:t>Mimouni</w:t>
      </w:r>
      <w:proofErr w:type="spellEnd"/>
      <w:r w:rsidRPr="009C6517">
        <w:rPr>
          <w:rFonts w:ascii="Times New Roman" w:hAnsi="Times New Roman" w:cs="Times New Roman"/>
          <w:sz w:val="20"/>
          <w:szCs w:val="20"/>
        </w:rPr>
        <w:t xml:space="preserve"> FB, Nathan N, Ziegler EE, </w:t>
      </w:r>
      <w:proofErr w:type="spellStart"/>
      <w:r w:rsidRPr="009C6517">
        <w:rPr>
          <w:rFonts w:ascii="Times New Roman" w:hAnsi="Times New Roman" w:cs="Times New Roman"/>
          <w:sz w:val="20"/>
          <w:szCs w:val="20"/>
        </w:rPr>
        <w:t>Lubetzky</w:t>
      </w:r>
      <w:proofErr w:type="spellEnd"/>
      <w:r w:rsidRPr="009C6517">
        <w:rPr>
          <w:rFonts w:ascii="Times New Roman" w:hAnsi="Times New Roman" w:cs="Times New Roman"/>
          <w:sz w:val="20"/>
          <w:szCs w:val="20"/>
        </w:rPr>
        <w:t xml:space="preserve"> R, Mandel D. The use of </w:t>
      </w:r>
      <w:proofErr w:type="spellStart"/>
      <w:r w:rsidRPr="009C6517">
        <w:rPr>
          <w:rFonts w:ascii="Times New Roman" w:hAnsi="Times New Roman" w:cs="Times New Roman"/>
          <w:sz w:val="20"/>
          <w:szCs w:val="20"/>
        </w:rPr>
        <w:t>multinutrient</w:t>
      </w:r>
      <w:proofErr w:type="spellEnd"/>
      <w:r w:rsidR="006B29D5" w:rsidRPr="009C6517">
        <w:rPr>
          <w:rFonts w:ascii="Times New Roman" w:hAnsi="Times New Roman" w:cs="Times New Roman"/>
          <w:sz w:val="20"/>
          <w:szCs w:val="20"/>
        </w:rPr>
        <w:t xml:space="preserve"> </w:t>
      </w:r>
      <w:r w:rsidRPr="009C6517">
        <w:rPr>
          <w:rFonts w:ascii="Times New Roman" w:hAnsi="Times New Roman" w:cs="Times New Roman"/>
          <w:sz w:val="20"/>
          <w:szCs w:val="20"/>
        </w:rPr>
        <w:t xml:space="preserve">human milk fortifiers in preterm infants: a systematic review of unanswered questions. </w:t>
      </w:r>
      <w:r w:rsidRPr="00C01277">
        <w:rPr>
          <w:rFonts w:ascii="Times New Roman" w:hAnsi="Times New Roman" w:cs="Times New Roman"/>
          <w:i/>
          <w:iCs/>
          <w:sz w:val="20"/>
          <w:szCs w:val="20"/>
        </w:rPr>
        <w:t xml:space="preserve">Clinics in perinatology. </w:t>
      </w:r>
      <w:r w:rsidRPr="009C6517">
        <w:rPr>
          <w:rFonts w:ascii="Times New Roman" w:hAnsi="Times New Roman" w:cs="Times New Roman"/>
          <w:sz w:val="20"/>
          <w:szCs w:val="20"/>
        </w:rPr>
        <w:t>2017;44(1):173-178</w:t>
      </w:r>
    </w:p>
    <w:p w14:paraId="693FDC5F" w14:textId="63B79912" w:rsidR="001578C1" w:rsidRPr="009C6517" w:rsidRDefault="00540F28" w:rsidP="00747A19">
      <w:pPr>
        <w:pStyle w:val="ListParagraph"/>
        <w:numPr>
          <w:ilvl w:val="0"/>
          <w:numId w:val="4"/>
        </w:num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Chu S, </w:t>
      </w:r>
      <w:proofErr w:type="spellStart"/>
      <w:r w:rsidRPr="009C6517">
        <w:rPr>
          <w:rFonts w:ascii="Times New Roman" w:hAnsi="Times New Roman" w:cs="Times New Roman"/>
          <w:sz w:val="20"/>
          <w:szCs w:val="20"/>
        </w:rPr>
        <w:t>Procaskey</w:t>
      </w:r>
      <w:proofErr w:type="spellEnd"/>
      <w:r w:rsidRPr="009C6517">
        <w:rPr>
          <w:rFonts w:ascii="Times New Roman" w:hAnsi="Times New Roman" w:cs="Times New Roman"/>
          <w:sz w:val="20"/>
          <w:szCs w:val="20"/>
        </w:rPr>
        <w:t xml:space="preserve"> A, Tripp S, Naples M, White H, Rhein L. Quality </w:t>
      </w:r>
      <w:r w:rsidR="00AB5695" w:rsidRPr="009C6517">
        <w:rPr>
          <w:rFonts w:ascii="Times New Roman" w:hAnsi="Times New Roman" w:cs="Times New Roman"/>
          <w:sz w:val="20"/>
          <w:szCs w:val="20"/>
        </w:rPr>
        <w:t>improvement initiative</w:t>
      </w:r>
      <w:r w:rsidRPr="009C6517">
        <w:rPr>
          <w:rFonts w:ascii="Times New Roman" w:hAnsi="Times New Roman" w:cs="Times New Roman"/>
          <w:sz w:val="20"/>
          <w:szCs w:val="20"/>
        </w:rPr>
        <w:t xml:space="preserve"> to decrease time to full feeds and centr</w:t>
      </w:r>
      <w:r w:rsidRPr="00747A19">
        <w:rPr>
          <w:rFonts w:ascii="Times New Roman" w:hAnsi="Times New Roman" w:cs="Times New Roman"/>
          <w:sz w:val="20"/>
          <w:szCs w:val="20"/>
        </w:rPr>
        <w:t xml:space="preserve">al line utilization among infants born </w:t>
      </w:r>
      <w:proofErr w:type="gramStart"/>
      <w:r w:rsidRPr="00747A19">
        <w:rPr>
          <w:rFonts w:ascii="Times New Roman" w:hAnsi="Times New Roman" w:cs="Times New Roman"/>
          <w:sz w:val="20"/>
          <w:szCs w:val="20"/>
        </w:rPr>
        <w:t>less  than</w:t>
      </w:r>
      <w:proofErr w:type="gramEnd"/>
      <w:r w:rsidRPr="00747A19">
        <w:rPr>
          <w:rFonts w:ascii="Times New Roman" w:hAnsi="Times New Roman" w:cs="Times New Roman"/>
          <w:sz w:val="20"/>
          <w:szCs w:val="20"/>
        </w:rPr>
        <w:t xml:space="preserve"> or equal to 32 0/7 weeks through compliance with standardized feeding guidelines. 334 </w:t>
      </w:r>
      <w:r w:rsidRPr="00C01277">
        <w:rPr>
          <w:rFonts w:ascii="Times New Roman" w:hAnsi="Times New Roman" w:cs="Times New Roman"/>
          <w:i/>
          <w:iCs/>
          <w:sz w:val="20"/>
          <w:szCs w:val="20"/>
        </w:rPr>
        <w:t xml:space="preserve">Journal of Perinatology. </w:t>
      </w:r>
      <w:r w:rsidRPr="009C6517">
        <w:rPr>
          <w:rFonts w:ascii="Times New Roman" w:hAnsi="Times New Roman" w:cs="Times New Roman"/>
          <w:sz w:val="20"/>
          <w:szCs w:val="20"/>
        </w:rPr>
        <w:t>2019:1.</w:t>
      </w:r>
    </w:p>
    <w:p w14:paraId="5BD7EE12" w14:textId="20E1054C" w:rsidR="004E211D" w:rsidRPr="009C6517" w:rsidRDefault="004E211D" w:rsidP="00747A19">
      <w:pPr>
        <w:pStyle w:val="ListParagraph"/>
        <w:numPr>
          <w:ilvl w:val="0"/>
          <w:numId w:val="4"/>
        </w:numPr>
        <w:autoSpaceDE w:val="0"/>
        <w:autoSpaceDN w:val="0"/>
        <w:adjustRightInd w:val="0"/>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Fenton TR, Kim JH. A systematic review and meta-analysis to revise the Fenton growth chart for preterm infants. BMC </w:t>
      </w:r>
      <w:proofErr w:type="spellStart"/>
      <w:r w:rsidRPr="009C6517">
        <w:rPr>
          <w:rFonts w:ascii="Times New Roman" w:hAnsi="Times New Roman" w:cs="Times New Roman"/>
          <w:sz w:val="20"/>
          <w:szCs w:val="20"/>
        </w:rPr>
        <w:t>Pedia</w:t>
      </w:r>
      <w:proofErr w:type="spellEnd"/>
      <w:r w:rsidRPr="009C6517">
        <w:rPr>
          <w:rFonts w:ascii="Times New Roman" w:hAnsi="Times New Roman" w:cs="Times New Roman"/>
          <w:sz w:val="20"/>
          <w:szCs w:val="20"/>
        </w:rPr>
        <w:t xml:space="preserve">. </w:t>
      </w:r>
      <w:r w:rsidR="00AB5695" w:rsidRPr="009C6517">
        <w:rPr>
          <w:rFonts w:ascii="Times New Roman" w:hAnsi="Times New Roman" w:cs="Times New Roman"/>
          <w:sz w:val="20"/>
          <w:szCs w:val="20"/>
        </w:rPr>
        <w:t>2013; 13:59</w:t>
      </w:r>
      <w:r w:rsidRPr="009C6517">
        <w:rPr>
          <w:rFonts w:ascii="Times New Roman" w:hAnsi="Times New Roman" w:cs="Times New Roman"/>
          <w:sz w:val="20"/>
          <w:szCs w:val="20"/>
        </w:rPr>
        <w:t>.</w:t>
      </w:r>
    </w:p>
    <w:p w14:paraId="5A1B2575" w14:textId="77777777" w:rsidR="004E211D" w:rsidRPr="009C6517" w:rsidRDefault="004E211D" w:rsidP="00747A19">
      <w:pPr>
        <w:pStyle w:val="ListParagraph"/>
        <w:spacing w:line="360" w:lineRule="auto"/>
        <w:rPr>
          <w:rFonts w:ascii="Times New Roman" w:hAnsi="Times New Roman" w:cs="Times New Roman"/>
          <w:sz w:val="20"/>
          <w:szCs w:val="20"/>
        </w:rPr>
      </w:pPr>
    </w:p>
    <w:p w14:paraId="09FF38D3" w14:textId="5EF9352E" w:rsidR="00F0384A" w:rsidRPr="009C6517" w:rsidRDefault="00F0384A" w:rsidP="00747A19">
      <w:pPr>
        <w:pStyle w:val="ListParagraph"/>
        <w:numPr>
          <w:ilvl w:val="0"/>
          <w:numId w:val="4"/>
        </w:numPr>
        <w:spacing w:line="360" w:lineRule="auto"/>
        <w:rPr>
          <w:rFonts w:ascii="Times New Roman" w:eastAsia="Times New Roman" w:hAnsi="Times New Roman" w:cs="Times New Roman"/>
          <w:sz w:val="20"/>
          <w:szCs w:val="20"/>
        </w:rPr>
      </w:pPr>
      <w:r w:rsidRPr="009C6517">
        <w:rPr>
          <w:rFonts w:ascii="Times New Roman" w:eastAsia="Times New Roman" w:hAnsi="Times New Roman" w:cs="Times New Roman"/>
          <w:color w:val="222222"/>
          <w:sz w:val="20"/>
          <w:szCs w:val="20"/>
          <w:shd w:val="clear" w:color="auto" w:fill="FFFFFF"/>
        </w:rPr>
        <w:t>Chou, et al. "</w:t>
      </w:r>
      <w:proofErr w:type="spellStart"/>
      <w:r w:rsidRPr="009C6517">
        <w:rPr>
          <w:rFonts w:ascii="Times New Roman" w:eastAsia="Times New Roman" w:hAnsi="Times New Roman" w:cs="Times New Roman"/>
          <w:color w:val="222222"/>
          <w:sz w:val="20"/>
          <w:szCs w:val="20"/>
          <w:shd w:val="clear" w:color="auto" w:fill="FFFFFF"/>
        </w:rPr>
        <w:t>PediTools</w:t>
      </w:r>
      <w:proofErr w:type="spellEnd"/>
      <w:r w:rsidRPr="00747A19">
        <w:rPr>
          <w:rFonts w:ascii="Times New Roman" w:eastAsia="Times New Roman" w:hAnsi="Times New Roman" w:cs="Times New Roman"/>
          <w:color w:val="222222"/>
          <w:sz w:val="20"/>
          <w:szCs w:val="20"/>
          <w:shd w:val="clear" w:color="auto" w:fill="FFFFFF"/>
        </w:rPr>
        <w:t xml:space="preserve"> Electronic Growth Chart Calculators: Applications in Clinical Care, Research, and Quality Improvement." </w:t>
      </w:r>
      <w:r w:rsidRPr="00C01277">
        <w:rPr>
          <w:rFonts w:ascii="Times New Roman" w:eastAsia="Times New Roman" w:hAnsi="Times New Roman" w:cs="Times New Roman"/>
          <w:i/>
          <w:iCs/>
          <w:color w:val="222222"/>
          <w:sz w:val="20"/>
          <w:szCs w:val="20"/>
          <w:shd w:val="clear" w:color="auto" w:fill="FFFFFF"/>
        </w:rPr>
        <w:t>Journal of Medical Internet Research</w:t>
      </w:r>
      <w:r w:rsidRPr="009C6517">
        <w:rPr>
          <w:rFonts w:ascii="Times New Roman" w:eastAsia="Times New Roman" w:hAnsi="Times New Roman" w:cs="Times New Roman"/>
          <w:color w:val="222222"/>
          <w:sz w:val="20"/>
          <w:szCs w:val="20"/>
          <w:shd w:val="clear" w:color="auto" w:fill="FFFFFF"/>
        </w:rPr>
        <w:t> 22.1 (2020): e16204.</w:t>
      </w:r>
    </w:p>
    <w:p w14:paraId="7CAEA374" w14:textId="77777777" w:rsidR="004E211D" w:rsidRPr="00747A19" w:rsidRDefault="004E211D" w:rsidP="00747A19">
      <w:pPr>
        <w:pStyle w:val="ListParagraph"/>
        <w:numPr>
          <w:ilvl w:val="0"/>
          <w:numId w:val="4"/>
        </w:numPr>
        <w:spacing w:line="360" w:lineRule="auto"/>
        <w:rPr>
          <w:rFonts w:ascii="Times New Roman" w:hAnsi="Times New Roman" w:cs="Times New Roman"/>
          <w:sz w:val="20"/>
          <w:szCs w:val="20"/>
        </w:rPr>
      </w:pPr>
      <w:r w:rsidRPr="00747A19">
        <w:rPr>
          <w:rFonts w:ascii="Times New Roman" w:hAnsi="Times New Roman" w:cs="Times New Roman"/>
          <w:sz w:val="20"/>
          <w:szCs w:val="20"/>
        </w:rPr>
        <w:t>Chu, S et al.  A Quality Improvement Initiative to Reduce Pre-discharge Growth Failure among Preterm Infants through Time Specific Feeding Volume Increase Pediatric quality and Safety 2020</w:t>
      </w:r>
    </w:p>
    <w:p w14:paraId="197A1CC6" w14:textId="4F8885E8" w:rsidR="00E52267" w:rsidRDefault="00E5226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385E35B" w14:textId="77777777" w:rsidR="004E211D" w:rsidRPr="00556444" w:rsidRDefault="004E211D" w:rsidP="00556444">
      <w:pPr>
        <w:spacing w:line="360" w:lineRule="auto"/>
        <w:rPr>
          <w:rFonts w:ascii="Times New Roman" w:eastAsia="Times New Roman" w:hAnsi="Times New Roman" w:cs="Times New Roman"/>
          <w:sz w:val="20"/>
          <w:szCs w:val="20"/>
        </w:rPr>
      </w:pPr>
    </w:p>
    <w:p w14:paraId="128FFE55" w14:textId="4875C2B2" w:rsidR="004A45CC" w:rsidRPr="009C6517" w:rsidRDefault="004A45CC" w:rsidP="00747A19">
      <w:pPr>
        <w:pStyle w:val="ListParagraph"/>
        <w:spacing w:line="360" w:lineRule="auto"/>
        <w:rPr>
          <w:rFonts w:ascii="Times New Roman" w:hAnsi="Times New Roman" w:cs="Times New Roman"/>
          <w:sz w:val="20"/>
          <w:szCs w:val="20"/>
        </w:rPr>
      </w:pPr>
      <w:r w:rsidRPr="00C01277">
        <w:rPr>
          <w:rFonts w:ascii="Times New Roman" w:hAnsi="Times New Roman" w:cs="Times New Roman"/>
          <w:noProof/>
          <w:sz w:val="20"/>
          <w:szCs w:val="20"/>
        </w:rPr>
        <w:drawing>
          <wp:inline distT="0" distB="0" distL="0" distR="0" wp14:anchorId="1FA849BA" wp14:editId="62C2DDE7">
            <wp:extent cx="3216652" cy="2377525"/>
            <wp:effectExtent l="12700" t="12700" r="9525" b="1016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42546" cy="2396664"/>
                    </a:xfrm>
                    <a:prstGeom prst="rect">
                      <a:avLst/>
                    </a:prstGeom>
                    <a:ln>
                      <a:solidFill>
                        <a:schemeClr val="tx1"/>
                      </a:solidFill>
                    </a:ln>
                  </pic:spPr>
                </pic:pic>
              </a:graphicData>
            </a:graphic>
          </wp:inline>
        </w:drawing>
      </w:r>
    </w:p>
    <w:p w14:paraId="68BB0260" w14:textId="77777777" w:rsidR="00062B6D" w:rsidRPr="009C6517" w:rsidRDefault="00062B6D" w:rsidP="00747A19">
      <w:pPr>
        <w:pStyle w:val="ListParagraph"/>
        <w:spacing w:line="360" w:lineRule="auto"/>
        <w:rPr>
          <w:rFonts w:ascii="Times New Roman" w:hAnsi="Times New Roman" w:cs="Times New Roman"/>
          <w:sz w:val="20"/>
          <w:szCs w:val="20"/>
        </w:rPr>
      </w:pPr>
    </w:p>
    <w:p w14:paraId="3E0C74A9" w14:textId="5D73F697" w:rsidR="004A45CC" w:rsidRDefault="00062B6D" w:rsidP="00747A19">
      <w:pPr>
        <w:spacing w:line="360" w:lineRule="auto"/>
        <w:rPr>
          <w:rFonts w:ascii="Times New Roman" w:hAnsi="Times New Roman" w:cs="Times New Roman"/>
          <w:sz w:val="20"/>
          <w:szCs w:val="20"/>
        </w:rPr>
      </w:pPr>
      <w:r w:rsidRPr="00747A19">
        <w:rPr>
          <w:rFonts w:ascii="Times New Roman" w:hAnsi="Times New Roman" w:cs="Times New Roman"/>
          <w:sz w:val="20"/>
          <w:szCs w:val="20"/>
        </w:rPr>
        <w:t>Figure 1- Study population. Infants born less than or equal to 32 weeks with weight above the 10</w:t>
      </w:r>
      <w:r w:rsidRPr="00747A19">
        <w:rPr>
          <w:rFonts w:ascii="Times New Roman" w:hAnsi="Times New Roman" w:cs="Times New Roman"/>
          <w:sz w:val="20"/>
          <w:szCs w:val="20"/>
          <w:vertAlign w:val="superscript"/>
        </w:rPr>
        <w:t>th</w:t>
      </w:r>
      <w:r w:rsidRPr="00747A19">
        <w:rPr>
          <w:rFonts w:ascii="Times New Roman" w:hAnsi="Times New Roman" w:cs="Times New Roman"/>
          <w:sz w:val="20"/>
          <w:szCs w:val="20"/>
        </w:rPr>
        <w:t xml:space="preserve"> percentile </w:t>
      </w:r>
      <w:r w:rsidRPr="00507200">
        <w:rPr>
          <w:rFonts w:ascii="Times New Roman" w:hAnsi="Times New Roman" w:cs="Times New Roman"/>
          <w:sz w:val="20"/>
          <w:szCs w:val="20"/>
        </w:rPr>
        <w:t>on the Fenton growth curve with discharge weight less than the 10</w:t>
      </w:r>
      <w:r w:rsidRPr="00507200">
        <w:rPr>
          <w:rFonts w:ascii="Times New Roman" w:hAnsi="Times New Roman" w:cs="Times New Roman"/>
          <w:sz w:val="20"/>
          <w:szCs w:val="20"/>
          <w:vertAlign w:val="superscript"/>
        </w:rPr>
        <w:t>th</w:t>
      </w:r>
      <w:r w:rsidRPr="00507200">
        <w:rPr>
          <w:rFonts w:ascii="Times New Roman" w:hAnsi="Times New Roman" w:cs="Times New Roman"/>
          <w:sz w:val="20"/>
          <w:szCs w:val="20"/>
        </w:rPr>
        <w:t xml:space="preserve"> percentile on the Fenton growth curve were considered to have EUGR.</w:t>
      </w:r>
    </w:p>
    <w:p w14:paraId="44C7F59E" w14:textId="77777777" w:rsidR="00C51358" w:rsidRPr="00507200" w:rsidRDefault="00C51358" w:rsidP="00747A19">
      <w:pPr>
        <w:spacing w:line="360" w:lineRule="auto"/>
        <w:rPr>
          <w:rFonts w:ascii="Times New Roman" w:hAnsi="Times New Roman" w:cs="Times New Roman"/>
          <w:sz w:val="20"/>
          <w:szCs w:val="20"/>
        </w:rPr>
      </w:pPr>
    </w:p>
    <w:tbl>
      <w:tblPr>
        <w:tblW w:w="3947" w:type="pct"/>
        <w:tblInd w:w="-5" w:type="dxa"/>
        <w:tblLayout w:type="fixed"/>
        <w:tblLook w:val="04A0" w:firstRow="1" w:lastRow="0" w:firstColumn="1" w:lastColumn="0" w:noHBand="0" w:noVBand="1"/>
      </w:tblPr>
      <w:tblGrid>
        <w:gridCol w:w="1492"/>
        <w:gridCol w:w="1531"/>
        <w:gridCol w:w="2287"/>
        <w:gridCol w:w="2071"/>
      </w:tblGrid>
      <w:tr w:rsidR="004A45CC" w:rsidRPr="00C01277" w14:paraId="732CA854" w14:textId="77777777" w:rsidTr="00062B6D">
        <w:trPr>
          <w:trHeight w:val="2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71CF5B" w14:textId="68C2E1E3" w:rsidR="004A45CC" w:rsidRPr="00C01277" w:rsidRDefault="004A45CC" w:rsidP="00747A19">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Table 1.  Comparison among EUGR infants (N=53)</w:t>
            </w:r>
          </w:p>
        </w:tc>
      </w:tr>
      <w:tr w:rsidR="004A45CC" w:rsidRPr="00C01277" w14:paraId="5C0CFD6B" w14:textId="77777777" w:rsidTr="00062B6D">
        <w:trPr>
          <w:trHeight w:val="290"/>
        </w:trPr>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2894B"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 </w:t>
            </w:r>
          </w:p>
        </w:tc>
        <w:tc>
          <w:tcPr>
            <w:tcW w:w="1037" w:type="pct"/>
            <w:tcBorders>
              <w:top w:val="single" w:sz="4" w:space="0" w:color="auto"/>
              <w:left w:val="nil"/>
              <w:bottom w:val="single" w:sz="4" w:space="0" w:color="auto"/>
              <w:right w:val="single" w:sz="4" w:space="0" w:color="auto"/>
            </w:tcBorders>
            <w:shd w:val="clear" w:color="auto" w:fill="auto"/>
            <w:noWrap/>
            <w:vAlign w:val="center"/>
            <w:hideMark/>
          </w:tcPr>
          <w:p w14:paraId="74F1967B"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 xml:space="preserve">Pre-Protocol (N=27) </w:t>
            </w:r>
          </w:p>
        </w:tc>
        <w:tc>
          <w:tcPr>
            <w:tcW w:w="1549" w:type="pct"/>
            <w:tcBorders>
              <w:top w:val="single" w:sz="4" w:space="0" w:color="auto"/>
              <w:left w:val="nil"/>
              <w:bottom w:val="single" w:sz="4" w:space="0" w:color="auto"/>
              <w:right w:val="single" w:sz="4" w:space="0" w:color="auto"/>
            </w:tcBorders>
            <w:shd w:val="clear" w:color="auto" w:fill="auto"/>
            <w:noWrap/>
            <w:vAlign w:val="center"/>
            <w:hideMark/>
          </w:tcPr>
          <w:p w14:paraId="7326E517"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Post-Protocol (N=26)</w:t>
            </w:r>
          </w:p>
        </w:tc>
        <w:tc>
          <w:tcPr>
            <w:tcW w:w="14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2F9FAA"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p-value</w:t>
            </w:r>
          </w:p>
        </w:tc>
      </w:tr>
      <w:tr w:rsidR="004A45CC" w:rsidRPr="00C01277" w14:paraId="6D03A97D"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7962E8B4"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 </w:t>
            </w:r>
          </w:p>
        </w:tc>
        <w:tc>
          <w:tcPr>
            <w:tcW w:w="1037" w:type="pct"/>
            <w:tcBorders>
              <w:top w:val="nil"/>
              <w:left w:val="nil"/>
              <w:bottom w:val="single" w:sz="4" w:space="0" w:color="auto"/>
              <w:right w:val="single" w:sz="4" w:space="0" w:color="auto"/>
            </w:tcBorders>
            <w:shd w:val="clear" w:color="auto" w:fill="auto"/>
            <w:noWrap/>
            <w:vAlign w:val="center"/>
            <w:hideMark/>
          </w:tcPr>
          <w:p w14:paraId="5407F088"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N (%)</w:t>
            </w:r>
          </w:p>
        </w:tc>
        <w:tc>
          <w:tcPr>
            <w:tcW w:w="1549" w:type="pct"/>
            <w:tcBorders>
              <w:top w:val="nil"/>
              <w:left w:val="nil"/>
              <w:bottom w:val="single" w:sz="4" w:space="0" w:color="auto"/>
              <w:right w:val="single" w:sz="4" w:space="0" w:color="auto"/>
            </w:tcBorders>
            <w:shd w:val="clear" w:color="auto" w:fill="auto"/>
            <w:noWrap/>
            <w:vAlign w:val="center"/>
            <w:hideMark/>
          </w:tcPr>
          <w:p w14:paraId="4FA3847F"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N (%)</w:t>
            </w:r>
          </w:p>
        </w:tc>
        <w:tc>
          <w:tcPr>
            <w:tcW w:w="14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1ED5FA" w14:textId="77777777" w:rsidR="004A45CC" w:rsidRPr="00C01277" w:rsidRDefault="004A45CC" w:rsidP="00C01277">
            <w:pPr>
              <w:spacing w:line="360" w:lineRule="auto"/>
              <w:rPr>
                <w:rFonts w:ascii="Times New Roman" w:eastAsia="Times New Roman" w:hAnsi="Times New Roman" w:cs="Times New Roman"/>
                <w:color w:val="000000"/>
                <w:sz w:val="20"/>
                <w:szCs w:val="20"/>
              </w:rPr>
            </w:pPr>
          </w:p>
        </w:tc>
      </w:tr>
      <w:tr w:rsidR="004A45CC" w:rsidRPr="00C01277" w14:paraId="6920B848"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408A202A"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Male</w:t>
            </w:r>
          </w:p>
        </w:tc>
        <w:tc>
          <w:tcPr>
            <w:tcW w:w="1037" w:type="pct"/>
            <w:tcBorders>
              <w:top w:val="nil"/>
              <w:left w:val="nil"/>
              <w:bottom w:val="single" w:sz="4" w:space="0" w:color="auto"/>
              <w:right w:val="single" w:sz="4" w:space="0" w:color="auto"/>
            </w:tcBorders>
            <w:shd w:val="clear" w:color="auto" w:fill="auto"/>
            <w:noWrap/>
            <w:vAlign w:val="center"/>
            <w:hideMark/>
          </w:tcPr>
          <w:p w14:paraId="4CDB75AB"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12 (44)</w:t>
            </w:r>
          </w:p>
        </w:tc>
        <w:tc>
          <w:tcPr>
            <w:tcW w:w="1549" w:type="pct"/>
            <w:tcBorders>
              <w:top w:val="nil"/>
              <w:left w:val="nil"/>
              <w:bottom w:val="single" w:sz="4" w:space="0" w:color="auto"/>
              <w:right w:val="single" w:sz="4" w:space="0" w:color="auto"/>
            </w:tcBorders>
            <w:shd w:val="clear" w:color="auto" w:fill="auto"/>
            <w:noWrap/>
            <w:vAlign w:val="center"/>
            <w:hideMark/>
          </w:tcPr>
          <w:p w14:paraId="1A3E0F58"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16 (62)</w:t>
            </w:r>
          </w:p>
        </w:tc>
        <w:tc>
          <w:tcPr>
            <w:tcW w:w="1403" w:type="pct"/>
            <w:tcBorders>
              <w:top w:val="nil"/>
              <w:left w:val="nil"/>
              <w:bottom w:val="single" w:sz="4" w:space="0" w:color="auto"/>
              <w:right w:val="single" w:sz="4" w:space="0" w:color="auto"/>
            </w:tcBorders>
            <w:shd w:val="clear" w:color="auto" w:fill="auto"/>
            <w:noWrap/>
            <w:vAlign w:val="center"/>
            <w:hideMark/>
          </w:tcPr>
          <w:p w14:paraId="59DF5DDC"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0.21</w:t>
            </w:r>
          </w:p>
        </w:tc>
      </w:tr>
      <w:tr w:rsidR="004A45CC" w:rsidRPr="00C01277" w14:paraId="038C25EE"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274A898F"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White</w:t>
            </w:r>
          </w:p>
        </w:tc>
        <w:tc>
          <w:tcPr>
            <w:tcW w:w="1037" w:type="pct"/>
            <w:tcBorders>
              <w:top w:val="nil"/>
              <w:left w:val="nil"/>
              <w:bottom w:val="single" w:sz="4" w:space="0" w:color="auto"/>
              <w:right w:val="single" w:sz="4" w:space="0" w:color="auto"/>
            </w:tcBorders>
            <w:shd w:val="clear" w:color="auto" w:fill="auto"/>
            <w:noWrap/>
            <w:vAlign w:val="center"/>
            <w:hideMark/>
          </w:tcPr>
          <w:p w14:paraId="22E5094D"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15 (55)</w:t>
            </w:r>
          </w:p>
        </w:tc>
        <w:tc>
          <w:tcPr>
            <w:tcW w:w="1549" w:type="pct"/>
            <w:tcBorders>
              <w:top w:val="nil"/>
              <w:left w:val="nil"/>
              <w:bottom w:val="single" w:sz="4" w:space="0" w:color="auto"/>
              <w:right w:val="single" w:sz="4" w:space="0" w:color="auto"/>
            </w:tcBorders>
            <w:shd w:val="clear" w:color="auto" w:fill="auto"/>
            <w:noWrap/>
            <w:vAlign w:val="center"/>
            <w:hideMark/>
          </w:tcPr>
          <w:p w14:paraId="47A2946E"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17 (65)</w:t>
            </w:r>
          </w:p>
        </w:tc>
        <w:tc>
          <w:tcPr>
            <w:tcW w:w="1403" w:type="pct"/>
            <w:tcBorders>
              <w:top w:val="nil"/>
              <w:left w:val="nil"/>
              <w:bottom w:val="single" w:sz="4" w:space="0" w:color="auto"/>
              <w:right w:val="single" w:sz="4" w:space="0" w:color="auto"/>
            </w:tcBorders>
            <w:shd w:val="clear" w:color="auto" w:fill="auto"/>
            <w:noWrap/>
            <w:vAlign w:val="center"/>
            <w:hideMark/>
          </w:tcPr>
          <w:p w14:paraId="43252869"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0.46</w:t>
            </w:r>
          </w:p>
        </w:tc>
      </w:tr>
      <w:tr w:rsidR="004A45CC" w:rsidRPr="00C01277" w14:paraId="3762463B"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3297D083"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Hispanic</w:t>
            </w:r>
          </w:p>
        </w:tc>
        <w:tc>
          <w:tcPr>
            <w:tcW w:w="1037" w:type="pct"/>
            <w:tcBorders>
              <w:top w:val="nil"/>
              <w:left w:val="nil"/>
              <w:bottom w:val="single" w:sz="4" w:space="0" w:color="auto"/>
              <w:right w:val="single" w:sz="4" w:space="0" w:color="auto"/>
            </w:tcBorders>
            <w:shd w:val="clear" w:color="auto" w:fill="auto"/>
            <w:noWrap/>
            <w:vAlign w:val="center"/>
            <w:hideMark/>
          </w:tcPr>
          <w:p w14:paraId="43A3E704"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6 (22)</w:t>
            </w:r>
          </w:p>
        </w:tc>
        <w:tc>
          <w:tcPr>
            <w:tcW w:w="1549" w:type="pct"/>
            <w:tcBorders>
              <w:top w:val="nil"/>
              <w:left w:val="nil"/>
              <w:bottom w:val="single" w:sz="4" w:space="0" w:color="auto"/>
              <w:right w:val="single" w:sz="4" w:space="0" w:color="auto"/>
            </w:tcBorders>
            <w:shd w:val="clear" w:color="auto" w:fill="auto"/>
            <w:noWrap/>
            <w:vAlign w:val="center"/>
            <w:hideMark/>
          </w:tcPr>
          <w:p w14:paraId="01E25A8D"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8 (31)</w:t>
            </w:r>
          </w:p>
        </w:tc>
        <w:tc>
          <w:tcPr>
            <w:tcW w:w="1403" w:type="pct"/>
            <w:tcBorders>
              <w:top w:val="nil"/>
              <w:left w:val="nil"/>
              <w:bottom w:val="single" w:sz="4" w:space="0" w:color="auto"/>
              <w:right w:val="single" w:sz="4" w:space="0" w:color="auto"/>
            </w:tcBorders>
            <w:shd w:val="clear" w:color="auto" w:fill="auto"/>
            <w:noWrap/>
            <w:vAlign w:val="center"/>
            <w:hideMark/>
          </w:tcPr>
          <w:p w14:paraId="63B87B62"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0.48</w:t>
            </w:r>
          </w:p>
        </w:tc>
      </w:tr>
      <w:tr w:rsidR="004A45CC" w:rsidRPr="00C01277" w14:paraId="78CE1E04"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502D17EE"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Public Insurance</w:t>
            </w:r>
          </w:p>
        </w:tc>
        <w:tc>
          <w:tcPr>
            <w:tcW w:w="1037" w:type="pct"/>
            <w:tcBorders>
              <w:top w:val="nil"/>
              <w:left w:val="nil"/>
              <w:bottom w:val="single" w:sz="4" w:space="0" w:color="auto"/>
              <w:right w:val="single" w:sz="4" w:space="0" w:color="auto"/>
            </w:tcBorders>
            <w:shd w:val="clear" w:color="auto" w:fill="auto"/>
            <w:noWrap/>
            <w:vAlign w:val="center"/>
            <w:hideMark/>
          </w:tcPr>
          <w:p w14:paraId="159E3F8D"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17 (63)</w:t>
            </w:r>
          </w:p>
        </w:tc>
        <w:tc>
          <w:tcPr>
            <w:tcW w:w="1549" w:type="pct"/>
            <w:tcBorders>
              <w:top w:val="nil"/>
              <w:left w:val="nil"/>
              <w:bottom w:val="single" w:sz="4" w:space="0" w:color="auto"/>
              <w:right w:val="single" w:sz="4" w:space="0" w:color="auto"/>
            </w:tcBorders>
            <w:shd w:val="clear" w:color="auto" w:fill="auto"/>
            <w:noWrap/>
            <w:vAlign w:val="center"/>
            <w:hideMark/>
          </w:tcPr>
          <w:p w14:paraId="72F8D42B"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11 (42)</w:t>
            </w:r>
          </w:p>
        </w:tc>
        <w:tc>
          <w:tcPr>
            <w:tcW w:w="1403" w:type="pct"/>
            <w:tcBorders>
              <w:top w:val="nil"/>
              <w:left w:val="nil"/>
              <w:bottom w:val="single" w:sz="4" w:space="0" w:color="auto"/>
              <w:right w:val="single" w:sz="4" w:space="0" w:color="auto"/>
            </w:tcBorders>
            <w:shd w:val="clear" w:color="auto" w:fill="auto"/>
            <w:noWrap/>
            <w:vAlign w:val="center"/>
            <w:hideMark/>
          </w:tcPr>
          <w:p w14:paraId="4EF06E8E"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0.13</w:t>
            </w:r>
          </w:p>
        </w:tc>
      </w:tr>
      <w:tr w:rsidR="004A45CC" w:rsidRPr="00C01277" w14:paraId="4F009E38"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166276E4"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Multiple Birth</w:t>
            </w:r>
          </w:p>
        </w:tc>
        <w:tc>
          <w:tcPr>
            <w:tcW w:w="1037" w:type="pct"/>
            <w:tcBorders>
              <w:top w:val="nil"/>
              <w:left w:val="nil"/>
              <w:bottom w:val="single" w:sz="4" w:space="0" w:color="auto"/>
              <w:right w:val="single" w:sz="4" w:space="0" w:color="auto"/>
            </w:tcBorders>
            <w:shd w:val="clear" w:color="auto" w:fill="auto"/>
            <w:noWrap/>
            <w:vAlign w:val="center"/>
            <w:hideMark/>
          </w:tcPr>
          <w:p w14:paraId="41992A50"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8 (30)</w:t>
            </w:r>
          </w:p>
        </w:tc>
        <w:tc>
          <w:tcPr>
            <w:tcW w:w="1549" w:type="pct"/>
            <w:tcBorders>
              <w:top w:val="nil"/>
              <w:left w:val="nil"/>
              <w:bottom w:val="single" w:sz="4" w:space="0" w:color="auto"/>
              <w:right w:val="single" w:sz="4" w:space="0" w:color="auto"/>
            </w:tcBorders>
            <w:shd w:val="clear" w:color="auto" w:fill="auto"/>
            <w:noWrap/>
            <w:vAlign w:val="center"/>
            <w:hideMark/>
          </w:tcPr>
          <w:p w14:paraId="2BF925F1"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7 (27)</w:t>
            </w:r>
          </w:p>
        </w:tc>
        <w:tc>
          <w:tcPr>
            <w:tcW w:w="1403" w:type="pct"/>
            <w:tcBorders>
              <w:top w:val="nil"/>
              <w:left w:val="nil"/>
              <w:bottom w:val="single" w:sz="4" w:space="0" w:color="auto"/>
              <w:right w:val="single" w:sz="4" w:space="0" w:color="auto"/>
            </w:tcBorders>
            <w:shd w:val="clear" w:color="auto" w:fill="auto"/>
            <w:noWrap/>
            <w:vAlign w:val="center"/>
            <w:hideMark/>
          </w:tcPr>
          <w:p w14:paraId="10315117"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0.82</w:t>
            </w:r>
          </w:p>
        </w:tc>
      </w:tr>
      <w:tr w:rsidR="004A45CC" w:rsidRPr="00C01277" w14:paraId="73298685"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65C2B364"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Maternal HTN</w:t>
            </w:r>
          </w:p>
        </w:tc>
        <w:tc>
          <w:tcPr>
            <w:tcW w:w="1037" w:type="pct"/>
            <w:tcBorders>
              <w:top w:val="nil"/>
              <w:left w:val="nil"/>
              <w:bottom w:val="single" w:sz="4" w:space="0" w:color="auto"/>
              <w:right w:val="single" w:sz="4" w:space="0" w:color="auto"/>
            </w:tcBorders>
            <w:shd w:val="clear" w:color="auto" w:fill="auto"/>
            <w:noWrap/>
            <w:vAlign w:val="center"/>
            <w:hideMark/>
          </w:tcPr>
          <w:p w14:paraId="4AC52095"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16 (60)</w:t>
            </w:r>
          </w:p>
        </w:tc>
        <w:tc>
          <w:tcPr>
            <w:tcW w:w="1549" w:type="pct"/>
            <w:tcBorders>
              <w:top w:val="nil"/>
              <w:left w:val="nil"/>
              <w:bottom w:val="single" w:sz="4" w:space="0" w:color="auto"/>
              <w:right w:val="single" w:sz="4" w:space="0" w:color="auto"/>
            </w:tcBorders>
            <w:shd w:val="clear" w:color="auto" w:fill="auto"/>
            <w:noWrap/>
            <w:vAlign w:val="center"/>
            <w:hideMark/>
          </w:tcPr>
          <w:p w14:paraId="077FC1AF"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12 (46)</w:t>
            </w:r>
          </w:p>
        </w:tc>
        <w:tc>
          <w:tcPr>
            <w:tcW w:w="1403" w:type="pct"/>
            <w:tcBorders>
              <w:top w:val="nil"/>
              <w:left w:val="nil"/>
              <w:bottom w:val="single" w:sz="4" w:space="0" w:color="auto"/>
              <w:right w:val="single" w:sz="4" w:space="0" w:color="auto"/>
            </w:tcBorders>
            <w:shd w:val="clear" w:color="auto" w:fill="auto"/>
            <w:noWrap/>
            <w:vAlign w:val="center"/>
            <w:hideMark/>
          </w:tcPr>
          <w:p w14:paraId="4B3609FA"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0.34</w:t>
            </w:r>
          </w:p>
        </w:tc>
      </w:tr>
      <w:tr w:rsidR="004A45CC" w:rsidRPr="00C01277" w14:paraId="02E9568E"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1B1AA031"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Maternal Diabetes</w:t>
            </w:r>
          </w:p>
        </w:tc>
        <w:tc>
          <w:tcPr>
            <w:tcW w:w="1037" w:type="pct"/>
            <w:tcBorders>
              <w:top w:val="nil"/>
              <w:left w:val="nil"/>
              <w:bottom w:val="single" w:sz="4" w:space="0" w:color="auto"/>
              <w:right w:val="single" w:sz="4" w:space="0" w:color="auto"/>
            </w:tcBorders>
            <w:shd w:val="clear" w:color="auto" w:fill="auto"/>
            <w:noWrap/>
            <w:vAlign w:val="center"/>
            <w:hideMark/>
          </w:tcPr>
          <w:p w14:paraId="3EFCE6F1"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2 (7)</w:t>
            </w:r>
          </w:p>
        </w:tc>
        <w:tc>
          <w:tcPr>
            <w:tcW w:w="1549" w:type="pct"/>
            <w:tcBorders>
              <w:top w:val="nil"/>
              <w:left w:val="nil"/>
              <w:bottom w:val="single" w:sz="4" w:space="0" w:color="auto"/>
              <w:right w:val="single" w:sz="4" w:space="0" w:color="auto"/>
            </w:tcBorders>
            <w:shd w:val="clear" w:color="auto" w:fill="auto"/>
            <w:noWrap/>
            <w:vAlign w:val="center"/>
            <w:hideMark/>
          </w:tcPr>
          <w:p w14:paraId="07348C23"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4 (15)</w:t>
            </w:r>
          </w:p>
        </w:tc>
        <w:tc>
          <w:tcPr>
            <w:tcW w:w="1403" w:type="pct"/>
            <w:tcBorders>
              <w:top w:val="nil"/>
              <w:left w:val="nil"/>
              <w:bottom w:val="single" w:sz="4" w:space="0" w:color="auto"/>
              <w:right w:val="single" w:sz="4" w:space="0" w:color="auto"/>
            </w:tcBorders>
            <w:shd w:val="clear" w:color="auto" w:fill="auto"/>
            <w:noWrap/>
            <w:vAlign w:val="center"/>
            <w:hideMark/>
          </w:tcPr>
          <w:p w14:paraId="05F0D35D"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0.36</w:t>
            </w:r>
          </w:p>
        </w:tc>
      </w:tr>
      <w:tr w:rsidR="004A45CC" w:rsidRPr="00C01277" w14:paraId="4790005E"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4CAA28CD"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C-Section</w:t>
            </w:r>
          </w:p>
        </w:tc>
        <w:tc>
          <w:tcPr>
            <w:tcW w:w="1037" w:type="pct"/>
            <w:tcBorders>
              <w:top w:val="nil"/>
              <w:left w:val="nil"/>
              <w:bottom w:val="single" w:sz="4" w:space="0" w:color="auto"/>
              <w:right w:val="single" w:sz="4" w:space="0" w:color="auto"/>
            </w:tcBorders>
            <w:shd w:val="clear" w:color="auto" w:fill="auto"/>
            <w:noWrap/>
            <w:vAlign w:val="center"/>
            <w:hideMark/>
          </w:tcPr>
          <w:p w14:paraId="1CDC7F2B"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19 (70)</w:t>
            </w:r>
          </w:p>
        </w:tc>
        <w:tc>
          <w:tcPr>
            <w:tcW w:w="1549" w:type="pct"/>
            <w:tcBorders>
              <w:top w:val="nil"/>
              <w:left w:val="nil"/>
              <w:bottom w:val="single" w:sz="4" w:space="0" w:color="auto"/>
              <w:right w:val="single" w:sz="4" w:space="0" w:color="auto"/>
            </w:tcBorders>
            <w:shd w:val="clear" w:color="auto" w:fill="auto"/>
            <w:noWrap/>
            <w:vAlign w:val="center"/>
            <w:hideMark/>
          </w:tcPr>
          <w:p w14:paraId="52075535"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20 (77)</w:t>
            </w:r>
          </w:p>
        </w:tc>
        <w:tc>
          <w:tcPr>
            <w:tcW w:w="1403" w:type="pct"/>
            <w:tcBorders>
              <w:top w:val="nil"/>
              <w:left w:val="nil"/>
              <w:bottom w:val="single" w:sz="4" w:space="0" w:color="auto"/>
              <w:right w:val="single" w:sz="4" w:space="0" w:color="auto"/>
            </w:tcBorders>
            <w:shd w:val="clear" w:color="auto" w:fill="auto"/>
            <w:noWrap/>
            <w:vAlign w:val="center"/>
            <w:hideMark/>
          </w:tcPr>
          <w:p w14:paraId="7E5CC21E"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0.59</w:t>
            </w:r>
          </w:p>
        </w:tc>
      </w:tr>
      <w:tr w:rsidR="004A45CC" w:rsidRPr="00C01277" w14:paraId="5D8834EF"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7A6AFF92"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BPD Moderate-Severe</w:t>
            </w:r>
          </w:p>
        </w:tc>
        <w:tc>
          <w:tcPr>
            <w:tcW w:w="1037" w:type="pct"/>
            <w:tcBorders>
              <w:top w:val="nil"/>
              <w:left w:val="nil"/>
              <w:bottom w:val="single" w:sz="4" w:space="0" w:color="auto"/>
              <w:right w:val="single" w:sz="4" w:space="0" w:color="auto"/>
            </w:tcBorders>
            <w:shd w:val="clear" w:color="auto" w:fill="auto"/>
            <w:noWrap/>
            <w:vAlign w:val="center"/>
            <w:hideMark/>
          </w:tcPr>
          <w:p w14:paraId="7EF1CCEC"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8 (30)</w:t>
            </w:r>
          </w:p>
        </w:tc>
        <w:tc>
          <w:tcPr>
            <w:tcW w:w="1549" w:type="pct"/>
            <w:tcBorders>
              <w:top w:val="nil"/>
              <w:left w:val="nil"/>
              <w:bottom w:val="single" w:sz="4" w:space="0" w:color="auto"/>
              <w:right w:val="single" w:sz="4" w:space="0" w:color="auto"/>
            </w:tcBorders>
            <w:shd w:val="clear" w:color="auto" w:fill="auto"/>
            <w:noWrap/>
            <w:vAlign w:val="center"/>
            <w:hideMark/>
          </w:tcPr>
          <w:p w14:paraId="1D4F7D89"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9 (35)</w:t>
            </w:r>
          </w:p>
        </w:tc>
        <w:tc>
          <w:tcPr>
            <w:tcW w:w="1403" w:type="pct"/>
            <w:tcBorders>
              <w:top w:val="nil"/>
              <w:left w:val="nil"/>
              <w:bottom w:val="single" w:sz="4" w:space="0" w:color="auto"/>
              <w:right w:val="single" w:sz="4" w:space="0" w:color="auto"/>
            </w:tcBorders>
            <w:shd w:val="clear" w:color="auto" w:fill="auto"/>
            <w:noWrap/>
            <w:vAlign w:val="center"/>
            <w:hideMark/>
          </w:tcPr>
          <w:p w14:paraId="0D8FB7BB"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0.7</w:t>
            </w:r>
          </w:p>
        </w:tc>
      </w:tr>
      <w:tr w:rsidR="004A45CC" w:rsidRPr="00C01277" w14:paraId="2B1A2179"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4D6390E9"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PDA Requiring Treatment</w:t>
            </w:r>
          </w:p>
        </w:tc>
        <w:tc>
          <w:tcPr>
            <w:tcW w:w="1037" w:type="pct"/>
            <w:tcBorders>
              <w:top w:val="nil"/>
              <w:left w:val="nil"/>
              <w:bottom w:val="single" w:sz="4" w:space="0" w:color="auto"/>
              <w:right w:val="single" w:sz="4" w:space="0" w:color="auto"/>
            </w:tcBorders>
            <w:shd w:val="clear" w:color="auto" w:fill="auto"/>
            <w:noWrap/>
            <w:vAlign w:val="center"/>
            <w:hideMark/>
          </w:tcPr>
          <w:p w14:paraId="48697B12"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4 (15)</w:t>
            </w:r>
          </w:p>
        </w:tc>
        <w:tc>
          <w:tcPr>
            <w:tcW w:w="1549" w:type="pct"/>
            <w:tcBorders>
              <w:top w:val="nil"/>
              <w:left w:val="nil"/>
              <w:bottom w:val="single" w:sz="4" w:space="0" w:color="auto"/>
              <w:right w:val="single" w:sz="4" w:space="0" w:color="auto"/>
            </w:tcBorders>
            <w:shd w:val="clear" w:color="auto" w:fill="auto"/>
            <w:noWrap/>
            <w:vAlign w:val="center"/>
            <w:hideMark/>
          </w:tcPr>
          <w:p w14:paraId="11A33B15"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3 (12)</w:t>
            </w:r>
          </w:p>
        </w:tc>
        <w:tc>
          <w:tcPr>
            <w:tcW w:w="1403" w:type="pct"/>
            <w:tcBorders>
              <w:top w:val="nil"/>
              <w:left w:val="nil"/>
              <w:bottom w:val="single" w:sz="4" w:space="0" w:color="auto"/>
              <w:right w:val="single" w:sz="4" w:space="0" w:color="auto"/>
            </w:tcBorders>
            <w:shd w:val="clear" w:color="auto" w:fill="auto"/>
            <w:noWrap/>
            <w:vAlign w:val="center"/>
            <w:hideMark/>
          </w:tcPr>
          <w:p w14:paraId="3E1E4A6E"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0.72</w:t>
            </w:r>
          </w:p>
        </w:tc>
      </w:tr>
      <w:tr w:rsidR="004A45CC" w:rsidRPr="00C01277" w14:paraId="42153D1C"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2482EBB0"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Severe IVH</w:t>
            </w:r>
          </w:p>
        </w:tc>
        <w:tc>
          <w:tcPr>
            <w:tcW w:w="1037" w:type="pct"/>
            <w:tcBorders>
              <w:top w:val="nil"/>
              <w:left w:val="nil"/>
              <w:bottom w:val="single" w:sz="4" w:space="0" w:color="auto"/>
              <w:right w:val="single" w:sz="4" w:space="0" w:color="auto"/>
            </w:tcBorders>
            <w:shd w:val="clear" w:color="auto" w:fill="auto"/>
            <w:noWrap/>
            <w:vAlign w:val="center"/>
            <w:hideMark/>
          </w:tcPr>
          <w:p w14:paraId="6C6A1E2D"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 (0)</w:t>
            </w:r>
          </w:p>
        </w:tc>
        <w:tc>
          <w:tcPr>
            <w:tcW w:w="1549" w:type="pct"/>
            <w:tcBorders>
              <w:top w:val="nil"/>
              <w:left w:val="nil"/>
              <w:bottom w:val="single" w:sz="4" w:space="0" w:color="auto"/>
              <w:right w:val="single" w:sz="4" w:space="0" w:color="auto"/>
            </w:tcBorders>
            <w:shd w:val="clear" w:color="auto" w:fill="auto"/>
            <w:noWrap/>
            <w:vAlign w:val="center"/>
            <w:hideMark/>
          </w:tcPr>
          <w:p w14:paraId="3E14A41A"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 (4)</w:t>
            </w:r>
          </w:p>
        </w:tc>
        <w:tc>
          <w:tcPr>
            <w:tcW w:w="1403" w:type="pct"/>
            <w:tcBorders>
              <w:top w:val="nil"/>
              <w:left w:val="nil"/>
              <w:bottom w:val="single" w:sz="4" w:space="0" w:color="auto"/>
              <w:right w:val="single" w:sz="4" w:space="0" w:color="auto"/>
            </w:tcBorders>
            <w:shd w:val="clear" w:color="auto" w:fill="auto"/>
            <w:noWrap/>
            <w:vAlign w:val="center"/>
            <w:hideMark/>
          </w:tcPr>
          <w:p w14:paraId="38E847BF"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0.3</w:t>
            </w:r>
          </w:p>
        </w:tc>
      </w:tr>
      <w:tr w:rsidR="004A45CC" w:rsidRPr="00C01277" w14:paraId="64C4833C"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43D62307"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lastRenderedPageBreak/>
              <w:t>ROP</w:t>
            </w:r>
          </w:p>
        </w:tc>
        <w:tc>
          <w:tcPr>
            <w:tcW w:w="1037" w:type="pct"/>
            <w:tcBorders>
              <w:top w:val="nil"/>
              <w:left w:val="nil"/>
              <w:bottom w:val="single" w:sz="4" w:space="0" w:color="auto"/>
              <w:right w:val="single" w:sz="4" w:space="0" w:color="auto"/>
            </w:tcBorders>
            <w:shd w:val="clear" w:color="auto" w:fill="auto"/>
            <w:noWrap/>
            <w:vAlign w:val="center"/>
            <w:hideMark/>
          </w:tcPr>
          <w:p w14:paraId="78611D78"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8 (30)</w:t>
            </w:r>
          </w:p>
        </w:tc>
        <w:tc>
          <w:tcPr>
            <w:tcW w:w="1549" w:type="pct"/>
            <w:tcBorders>
              <w:top w:val="nil"/>
              <w:left w:val="nil"/>
              <w:bottom w:val="single" w:sz="4" w:space="0" w:color="auto"/>
              <w:right w:val="single" w:sz="4" w:space="0" w:color="auto"/>
            </w:tcBorders>
            <w:shd w:val="clear" w:color="auto" w:fill="auto"/>
            <w:noWrap/>
            <w:vAlign w:val="center"/>
            <w:hideMark/>
          </w:tcPr>
          <w:p w14:paraId="40B46BFF"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9 (35)</w:t>
            </w:r>
          </w:p>
        </w:tc>
        <w:tc>
          <w:tcPr>
            <w:tcW w:w="1403" w:type="pct"/>
            <w:tcBorders>
              <w:top w:val="nil"/>
              <w:left w:val="nil"/>
              <w:bottom w:val="single" w:sz="4" w:space="0" w:color="auto"/>
              <w:right w:val="single" w:sz="4" w:space="0" w:color="auto"/>
            </w:tcBorders>
            <w:shd w:val="clear" w:color="auto" w:fill="auto"/>
            <w:noWrap/>
            <w:vAlign w:val="center"/>
            <w:hideMark/>
          </w:tcPr>
          <w:p w14:paraId="649FE296"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0.7</w:t>
            </w:r>
          </w:p>
        </w:tc>
      </w:tr>
      <w:tr w:rsidR="004A45CC" w:rsidRPr="00C01277" w14:paraId="4E6D49A4"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61EB8078"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 </w:t>
            </w:r>
          </w:p>
        </w:tc>
        <w:tc>
          <w:tcPr>
            <w:tcW w:w="1037" w:type="pct"/>
            <w:tcBorders>
              <w:top w:val="nil"/>
              <w:left w:val="nil"/>
              <w:bottom w:val="single" w:sz="4" w:space="0" w:color="auto"/>
              <w:right w:val="single" w:sz="4" w:space="0" w:color="auto"/>
            </w:tcBorders>
            <w:shd w:val="clear" w:color="auto" w:fill="auto"/>
            <w:noWrap/>
            <w:vAlign w:val="center"/>
            <w:hideMark/>
          </w:tcPr>
          <w:p w14:paraId="487033D5"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Mean ± SD</w:t>
            </w:r>
          </w:p>
        </w:tc>
        <w:tc>
          <w:tcPr>
            <w:tcW w:w="1549" w:type="pct"/>
            <w:tcBorders>
              <w:top w:val="nil"/>
              <w:left w:val="nil"/>
              <w:bottom w:val="single" w:sz="4" w:space="0" w:color="auto"/>
              <w:right w:val="single" w:sz="4" w:space="0" w:color="auto"/>
            </w:tcBorders>
            <w:shd w:val="clear" w:color="auto" w:fill="auto"/>
            <w:noWrap/>
            <w:vAlign w:val="center"/>
            <w:hideMark/>
          </w:tcPr>
          <w:p w14:paraId="13814D0C"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Mean ± SD</w:t>
            </w:r>
          </w:p>
        </w:tc>
        <w:tc>
          <w:tcPr>
            <w:tcW w:w="1403" w:type="pct"/>
            <w:tcBorders>
              <w:top w:val="nil"/>
              <w:left w:val="nil"/>
              <w:bottom w:val="single" w:sz="4" w:space="0" w:color="auto"/>
              <w:right w:val="single" w:sz="4" w:space="0" w:color="auto"/>
            </w:tcBorders>
            <w:shd w:val="clear" w:color="auto" w:fill="auto"/>
            <w:noWrap/>
            <w:vAlign w:val="center"/>
            <w:hideMark/>
          </w:tcPr>
          <w:p w14:paraId="62757097"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p-value</w:t>
            </w:r>
          </w:p>
        </w:tc>
      </w:tr>
      <w:tr w:rsidR="004A45CC" w:rsidRPr="00C01277" w14:paraId="1E20EA6D"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51AEEAEC"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Birth GA</w:t>
            </w:r>
          </w:p>
        </w:tc>
        <w:tc>
          <w:tcPr>
            <w:tcW w:w="1037" w:type="pct"/>
            <w:tcBorders>
              <w:top w:val="nil"/>
              <w:left w:val="nil"/>
              <w:bottom w:val="single" w:sz="4" w:space="0" w:color="auto"/>
              <w:right w:val="single" w:sz="4" w:space="0" w:color="auto"/>
            </w:tcBorders>
            <w:shd w:val="clear" w:color="auto" w:fill="auto"/>
            <w:noWrap/>
            <w:vAlign w:val="center"/>
            <w:hideMark/>
          </w:tcPr>
          <w:p w14:paraId="027D84D3"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29.7 ± 2.31</w:t>
            </w:r>
          </w:p>
        </w:tc>
        <w:tc>
          <w:tcPr>
            <w:tcW w:w="1549" w:type="pct"/>
            <w:tcBorders>
              <w:top w:val="nil"/>
              <w:left w:val="nil"/>
              <w:bottom w:val="single" w:sz="4" w:space="0" w:color="auto"/>
              <w:right w:val="single" w:sz="4" w:space="0" w:color="auto"/>
            </w:tcBorders>
            <w:shd w:val="clear" w:color="auto" w:fill="auto"/>
            <w:noWrap/>
            <w:vAlign w:val="center"/>
            <w:hideMark/>
          </w:tcPr>
          <w:p w14:paraId="245D3B6A"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28.4 ± 2.71</w:t>
            </w:r>
          </w:p>
        </w:tc>
        <w:tc>
          <w:tcPr>
            <w:tcW w:w="1403" w:type="pct"/>
            <w:tcBorders>
              <w:top w:val="nil"/>
              <w:left w:val="nil"/>
              <w:bottom w:val="single" w:sz="4" w:space="0" w:color="auto"/>
              <w:right w:val="single" w:sz="4" w:space="0" w:color="auto"/>
            </w:tcBorders>
            <w:shd w:val="clear" w:color="auto" w:fill="auto"/>
            <w:noWrap/>
            <w:vAlign w:val="center"/>
            <w:hideMark/>
          </w:tcPr>
          <w:p w14:paraId="27BD2428"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0.08</w:t>
            </w:r>
          </w:p>
        </w:tc>
      </w:tr>
      <w:tr w:rsidR="004A45CC" w:rsidRPr="00C01277" w14:paraId="61A319C8"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6FCE0D8B"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Birth Weight (g)</w:t>
            </w:r>
          </w:p>
        </w:tc>
        <w:tc>
          <w:tcPr>
            <w:tcW w:w="1037" w:type="pct"/>
            <w:tcBorders>
              <w:top w:val="nil"/>
              <w:left w:val="nil"/>
              <w:bottom w:val="single" w:sz="4" w:space="0" w:color="auto"/>
              <w:right w:val="single" w:sz="4" w:space="0" w:color="auto"/>
            </w:tcBorders>
            <w:shd w:val="clear" w:color="auto" w:fill="auto"/>
            <w:noWrap/>
            <w:vAlign w:val="center"/>
            <w:hideMark/>
          </w:tcPr>
          <w:p w14:paraId="1608EC43"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1115 ± 250</w:t>
            </w:r>
          </w:p>
        </w:tc>
        <w:tc>
          <w:tcPr>
            <w:tcW w:w="1549" w:type="pct"/>
            <w:tcBorders>
              <w:top w:val="nil"/>
              <w:left w:val="nil"/>
              <w:bottom w:val="single" w:sz="4" w:space="0" w:color="auto"/>
              <w:right w:val="single" w:sz="4" w:space="0" w:color="auto"/>
            </w:tcBorders>
            <w:shd w:val="clear" w:color="auto" w:fill="auto"/>
            <w:noWrap/>
            <w:vAlign w:val="center"/>
            <w:hideMark/>
          </w:tcPr>
          <w:p w14:paraId="6F5C8188"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998 ± 270</w:t>
            </w:r>
          </w:p>
        </w:tc>
        <w:tc>
          <w:tcPr>
            <w:tcW w:w="1403" w:type="pct"/>
            <w:tcBorders>
              <w:top w:val="nil"/>
              <w:left w:val="nil"/>
              <w:bottom w:val="single" w:sz="4" w:space="0" w:color="auto"/>
              <w:right w:val="single" w:sz="4" w:space="0" w:color="auto"/>
            </w:tcBorders>
            <w:shd w:val="clear" w:color="auto" w:fill="auto"/>
            <w:noWrap/>
            <w:vAlign w:val="center"/>
            <w:hideMark/>
          </w:tcPr>
          <w:p w14:paraId="4AE22B47"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0.1</w:t>
            </w:r>
          </w:p>
        </w:tc>
      </w:tr>
      <w:tr w:rsidR="004A45CC" w:rsidRPr="00C01277" w14:paraId="6F19EE32"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49210970"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Maternal Age</w:t>
            </w:r>
          </w:p>
        </w:tc>
        <w:tc>
          <w:tcPr>
            <w:tcW w:w="1037" w:type="pct"/>
            <w:tcBorders>
              <w:top w:val="nil"/>
              <w:left w:val="nil"/>
              <w:bottom w:val="single" w:sz="4" w:space="0" w:color="auto"/>
              <w:right w:val="single" w:sz="4" w:space="0" w:color="auto"/>
            </w:tcBorders>
            <w:shd w:val="clear" w:color="auto" w:fill="auto"/>
            <w:noWrap/>
            <w:vAlign w:val="center"/>
            <w:hideMark/>
          </w:tcPr>
          <w:p w14:paraId="60ED730F"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29.7 ± 5.3</w:t>
            </w:r>
          </w:p>
        </w:tc>
        <w:tc>
          <w:tcPr>
            <w:tcW w:w="1549" w:type="pct"/>
            <w:tcBorders>
              <w:top w:val="nil"/>
              <w:left w:val="nil"/>
              <w:bottom w:val="single" w:sz="4" w:space="0" w:color="auto"/>
              <w:right w:val="single" w:sz="4" w:space="0" w:color="auto"/>
            </w:tcBorders>
            <w:shd w:val="clear" w:color="auto" w:fill="auto"/>
            <w:noWrap/>
            <w:vAlign w:val="center"/>
            <w:hideMark/>
          </w:tcPr>
          <w:p w14:paraId="1063E4F0"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29.5 ± 6.2</w:t>
            </w:r>
          </w:p>
        </w:tc>
        <w:tc>
          <w:tcPr>
            <w:tcW w:w="1403" w:type="pct"/>
            <w:tcBorders>
              <w:top w:val="nil"/>
              <w:left w:val="nil"/>
              <w:bottom w:val="single" w:sz="4" w:space="0" w:color="auto"/>
              <w:right w:val="single" w:sz="4" w:space="0" w:color="auto"/>
            </w:tcBorders>
            <w:shd w:val="clear" w:color="auto" w:fill="auto"/>
            <w:noWrap/>
            <w:vAlign w:val="center"/>
            <w:hideMark/>
          </w:tcPr>
          <w:p w14:paraId="63528089"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0.89</w:t>
            </w:r>
          </w:p>
        </w:tc>
      </w:tr>
      <w:tr w:rsidR="004A45CC" w:rsidRPr="009D4072" w14:paraId="6594992A"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50D3D99E" w14:textId="77777777" w:rsidR="004A45CC" w:rsidRPr="00C01277" w:rsidRDefault="004A45CC" w:rsidP="00C01277">
            <w:pPr>
              <w:spacing w:line="360" w:lineRule="auto"/>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Ventilator Days</w:t>
            </w:r>
          </w:p>
        </w:tc>
        <w:tc>
          <w:tcPr>
            <w:tcW w:w="1037" w:type="pct"/>
            <w:tcBorders>
              <w:top w:val="nil"/>
              <w:left w:val="nil"/>
              <w:bottom w:val="single" w:sz="4" w:space="0" w:color="auto"/>
              <w:right w:val="single" w:sz="4" w:space="0" w:color="auto"/>
            </w:tcBorders>
            <w:shd w:val="clear" w:color="auto" w:fill="auto"/>
            <w:noWrap/>
            <w:vAlign w:val="center"/>
            <w:hideMark/>
          </w:tcPr>
          <w:p w14:paraId="279EE574"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4 ± 9</w:t>
            </w:r>
          </w:p>
        </w:tc>
        <w:tc>
          <w:tcPr>
            <w:tcW w:w="1549" w:type="pct"/>
            <w:tcBorders>
              <w:top w:val="nil"/>
              <w:left w:val="nil"/>
              <w:bottom w:val="single" w:sz="4" w:space="0" w:color="auto"/>
              <w:right w:val="single" w:sz="4" w:space="0" w:color="auto"/>
            </w:tcBorders>
            <w:shd w:val="clear" w:color="auto" w:fill="auto"/>
            <w:noWrap/>
            <w:vAlign w:val="center"/>
            <w:hideMark/>
          </w:tcPr>
          <w:p w14:paraId="15D56CD5"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7 ± 16</w:t>
            </w:r>
          </w:p>
        </w:tc>
        <w:tc>
          <w:tcPr>
            <w:tcW w:w="1403" w:type="pct"/>
            <w:tcBorders>
              <w:top w:val="nil"/>
              <w:left w:val="nil"/>
              <w:bottom w:val="single" w:sz="4" w:space="0" w:color="auto"/>
              <w:right w:val="single" w:sz="4" w:space="0" w:color="auto"/>
            </w:tcBorders>
            <w:shd w:val="clear" w:color="auto" w:fill="auto"/>
            <w:noWrap/>
            <w:vAlign w:val="center"/>
            <w:hideMark/>
          </w:tcPr>
          <w:p w14:paraId="37BCEB1D" w14:textId="77777777" w:rsidR="004A45CC" w:rsidRPr="00C01277" w:rsidRDefault="004A45CC" w:rsidP="00C01277">
            <w:pPr>
              <w:spacing w:line="360" w:lineRule="auto"/>
              <w:jc w:val="center"/>
              <w:rPr>
                <w:rFonts w:ascii="Times New Roman" w:eastAsia="Times New Roman" w:hAnsi="Times New Roman" w:cs="Times New Roman"/>
                <w:color w:val="000000"/>
                <w:sz w:val="20"/>
                <w:szCs w:val="20"/>
              </w:rPr>
            </w:pPr>
            <w:r w:rsidRPr="00C01277">
              <w:rPr>
                <w:rFonts w:ascii="Times New Roman" w:eastAsia="Times New Roman" w:hAnsi="Times New Roman" w:cs="Times New Roman"/>
                <w:color w:val="000000"/>
                <w:sz w:val="20"/>
                <w:szCs w:val="20"/>
              </w:rPr>
              <w:t>0.4</w:t>
            </w:r>
          </w:p>
        </w:tc>
      </w:tr>
      <w:tr w:rsidR="004A45CC" w:rsidRPr="009D4072" w14:paraId="54C14AAF" w14:textId="77777777" w:rsidTr="00062B6D">
        <w:trPr>
          <w:trHeight w:val="29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10C4D41A"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CGA at Discharge</w:t>
            </w:r>
          </w:p>
        </w:tc>
        <w:tc>
          <w:tcPr>
            <w:tcW w:w="1037" w:type="pct"/>
            <w:tcBorders>
              <w:top w:val="nil"/>
              <w:left w:val="nil"/>
              <w:bottom w:val="single" w:sz="4" w:space="0" w:color="auto"/>
              <w:right w:val="single" w:sz="4" w:space="0" w:color="auto"/>
            </w:tcBorders>
            <w:shd w:val="clear" w:color="auto" w:fill="auto"/>
            <w:noWrap/>
            <w:vAlign w:val="center"/>
            <w:hideMark/>
          </w:tcPr>
          <w:p w14:paraId="0CC7A79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39.5 ± 9.6</w:t>
            </w:r>
          </w:p>
        </w:tc>
        <w:tc>
          <w:tcPr>
            <w:tcW w:w="1549" w:type="pct"/>
            <w:tcBorders>
              <w:top w:val="nil"/>
              <w:left w:val="nil"/>
              <w:bottom w:val="single" w:sz="4" w:space="0" w:color="auto"/>
              <w:right w:val="single" w:sz="4" w:space="0" w:color="auto"/>
            </w:tcBorders>
            <w:shd w:val="clear" w:color="auto" w:fill="auto"/>
            <w:noWrap/>
            <w:vAlign w:val="center"/>
            <w:hideMark/>
          </w:tcPr>
          <w:p w14:paraId="62741C72"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39.6 ± 3.9</w:t>
            </w:r>
          </w:p>
        </w:tc>
        <w:tc>
          <w:tcPr>
            <w:tcW w:w="1403" w:type="pct"/>
            <w:tcBorders>
              <w:top w:val="nil"/>
              <w:left w:val="nil"/>
              <w:bottom w:val="single" w:sz="4" w:space="0" w:color="auto"/>
              <w:right w:val="single" w:sz="4" w:space="0" w:color="auto"/>
            </w:tcBorders>
            <w:shd w:val="clear" w:color="auto" w:fill="auto"/>
            <w:noWrap/>
            <w:vAlign w:val="center"/>
            <w:hideMark/>
          </w:tcPr>
          <w:p w14:paraId="1B743927"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0.96</w:t>
            </w:r>
          </w:p>
        </w:tc>
      </w:tr>
    </w:tbl>
    <w:p w14:paraId="370E3D14" w14:textId="77777777" w:rsidR="004A45CC" w:rsidRPr="009C6517" w:rsidRDefault="004A45CC" w:rsidP="009D4072">
      <w:pPr>
        <w:spacing w:line="360" w:lineRule="auto"/>
        <w:rPr>
          <w:rFonts w:ascii="Times New Roman" w:hAnsi="Times New Roman" w:cs="Times New Roman"/>
          <w:sz w:val="20"/>
          <w:szCs w:val="20"/>
        </w:rPr>
      </w:pPr>
    </w:p>
    <w:p w14:paraId="13C1D883" w14:textId="75B6C4FF" w:rsidR="004A45CC" w:rsidRPr="00507200" w:rsidRDefault="004A45CC" w:rsidP="009D4072">
      <w:p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Table </w:t>
      </w:r>
      <w:r w:rsidR="007D7C82">
        <w:rPr>
          <w:rFonts w:ascii="Times New Roman" w:hAnsi="Times New Roman" w:cs="Times New Roman"/>
          <w:sz w:val="20"/>
          <w:szCs w:val="20"/>
        </w:rPr>
        <w:t>1</w:t>
      </w:r>
      <w:r w:rsidRPr="009C6517">
        <w:rPr>
          <w:rFonts w:ascii="Times New Roman" w:hAnsi="Times New Roman" w:cs="Times New Roman"/>
          <w:sz w:val="20"/>
          <w:szCs w:val="20"/>
        </w:rPr>
        <w:t>: Comparison of demographic and clinical characteristics of infants with EUGR before and after implementation of a volume supplementation feeding protocol</w:t>
      </w:r>
      <w:r w:rsidR="00062B6D" w:rsidRPr="009C6517">
        <w:rPr>
          <w:rFonts w:ascii="Times New Roman" w:hAnsi="Times New Roman" w:cs="Times New Roman"/>
          <w:sz w:val="20"/>
          <w:szCs w:val="20"/>
        </w:rPr>
        <w:t xml:space="preserve"> to establish baseline </w:t>
      </w:r>
      <w:r w:rsidR="00062B6D" w:rsidRPr="00507200">
        <w:rPr>
          <w:rFonts w:ascii="Times New Roman" w:hAnsi="Times New Roman" w:cs="Times New Roman"/>
          <w:sz w:val="20"/>
          <w:szCs w:val="20"/>
        </w:rPr>
        <w:t>equivalence between the two groups.</w:t>
      </w:r>
    </w:p>
    <w:p w14:paraId="0942206C" w14:textId="77777777" w:rsidR="004A45CC" w:rsidRPr="00507200" w:rsidRDefault="004A45CC" w:rsidP="009D4072">
      <w:pPr>
        <w:spacing w:line="36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72"/>
        <w:gridCol w:w="566"/>
        <w:gridCol w:w="672"/>
        <w:gridCol w:w="566"/>
        <w:gridCol w:w="679"/>
        <w:gridCol w:w="672"/>
        <w:gridCol w:w="566"/>
        <w:gridCol w:w="672"/>
        <w:gridCol w:w="566"/>
        <w:gridCol w:w="779"/>
        <w:gridCol w:w="566"/>
        <w:gridCol w:w="1061"/>
      </w:tblGrid>
      <w:tr w:rsidR="004A45CC" w:rsidRPr="009D4072" w14:paraId="24C4F61A" w14:textId="77777777" w:rsidTr="00000610">
        <w:trPr>
          <w:trHeight w:val="390"/>
        </w:trPr>
        <w:tc>
          <w:tcPr>
            <w:tcW w:w="5000" w:type="pct"/>
            <w:gridSpan w:val="13"/>
            <w:shd w:val="clear" w:color="auto" w:fill="auto"/>
            <w:vAlign w:val="center"/>
            <w:hideMark/>
          </w:tcPr>
          <w:p w14:paraId="7D4D97C9" w14:textId="523D16F1"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xml:space="preserve">Table </w:t>
            </w:r>
            <w:r w:rsidR="00AB5695">
              <w:rPr>
                <w:rFonts w:ascii="Times New Roman" w:eastAsia="Times New Roman" w:hAnsi="Times New Roman" w:cs="Times New Roman"/>
                <w:color w:val="000000"/>
                <w:sz w:val="20"/>
                <w:szCs w:val="20"/>
              </w:rPr>
              <w:t>2</w:t>
            </w:r>
            <w:r w:rsidRPr="009D4072">
              <w:rPr>
                <w:rFonts w:ascii="Times New Roman" w:eastAsia="Times New Roman" w:hAnsi="Times New Roman" w:cs="Times New Roman"/>
                <w:color w:val="000000"/>
                <w:sz w:val="20"/>
                <w:szCs w:val="20"/>
              </w:rPr>
              <w:t xml:space="preserve">.  Comparison Among 4 Groups (N=336) </w:t>
            </w:r>
          </w:p>
        </w:tc>
      </w:tr>
      <w:tr w:rsidR="004A45CC" w:rsidRPr="009D4072" w14:paraId="48857F51" w14:textId="77777777" w:rsidTr="009D4072">
        <w:trPr>
          <w:trHeight w:val="390"/>
        </w:trPr>
        <w:tc>
          <w:tcPr>
            <w:tcW w:w="897" w:type="pct"/>
            <w:vMerge w:val="restart"/>
            <w:shd w:val="clear" w:color="auto" w:fill="auto"/>
            <w:vAlign w:val="center"/>
            <w:hideMark/>
          </w:tcPr>
          <w:p w14:paraId="3322157E"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Variable</w:t>
            </w:r>
          </w:p>
        </w:tc>
        <w:tc>
          <w:tcPr>
            <w:tcW w:w="1650" w:type="pct"/>
            <w:gridSpan w:val="5"/>
            <w:shd w:val="clear" w:color="auto" w:fill="auto"/>
            <w:vAlign w:val="center"/>
            <w:hideMark/>
          </w:tcPr>
          <w:p w14:paraId="3D9F58A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No intervention</w:t>
            </w:r>
          </w:p>
        </w:tc>
        <w:tc>
          <w:tcPr>
            <w:tcW w:w="1653" w:type="pct"/>
            <w:gridSpan w:val="5"/>
            <w:shd w:val="clear" w:color="auto" w:fill="auto"/>
            <w:vAlign w:val="center"/>
            <w:hideMark/>
          </w:tcPr>
          <w:p w14:paraId="25186B90"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Intervention</w:t>
            </w:r>
          </w:p>
        </w:tc>
        <w:tc>
          <w:tcPr>
            <w:tcW w:w="321" w:type="pct"/>
            <w:shd w:val="clear" w:color="auto" w:fill="auto"/>
            <w:vAlign w:val="center"/>
            <w:hideMark/>
          </w:tcPr>
          <w:p w14:paraId="34E340F0"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p>
        </w:tc>
        <w:tc>
          <w:tcPr>
            <w:tcW w:w="478" w:type="pct"/>
            <w:shd w:val="clear" w:color="auto" w:fill="auto"/>
            <w:vAlign w:val="center"/>
            <w:hideMark/>
          </w:tcPr>
          <w:p w14:paraId="0D3F17EC" w14:textId="77777777" w:rsidR="004A45CC" w:rsidRPr="009D4072" w:rsidRDefault="004A45CC" w:rsidP="009D4072">
            <w:pPr>
              <w:spacing w:line="360" w:lineRule="auto"/>
              <w:jc w:val="center"/>
              <w:rPr>
                <w:rFonts w:ascii="Times New Roman" w:eastAsia="Times New Roman" w:hAnsi="Times New Roman" w:cs="Times New Roman"/>
                <w:sz w:val="20"/>
                <w:szCs w:val="20"/>
              </w:rPr>
            </w:pPr>
          </w:p>
        </w:tc>
      </w:tr>
      <w:tr w:rsidR="004A45CC" w:rsidRPr="009D4072" w14:paraId="3B8895A9" w14:textId="77777777" w:rsidTr="009D4072">
        <w:trPr>
          <w:trHeight w:val="1010"/>
        </w:trPr>
        <w:tc>
          <w:tcPr>
            <w:tcW w:w="897" w:type="pct"/>
            <w:vMerge/>
            <w:vAlign w:val="center"/>
            <w:hideMark/>
          </w:tcPr>
          <w:p w14:paraId="44722450" w14:textId="77777777" w:rsidR="004A45CC" w:rsidRPr="009D4072" w:rsidRDefault="004A45CC" w:rsidP="009D4072">
            <w:pPr>
              <w:spacing w:line="360" w:lineRule="auto"/>
              <w:rPr>
                <w:rFonts w:ascii="Times New Roman" w:eastAsia="Times New Roman" w:hAnsi="Times New Roman" w:cs="Times New Roman"/>
                <w:color w:val="000000"/>
                <w:sz w:val="20"/>
                <w:szCs w:val="20"/>
              </w:rPr>
            </w:pPr>
          </w:p>
        </w:tc>
        <w:tc>
          <w:tcPr>
            <w:tcW w:w="639" w:type="pct"/>
            <w:gridSpan w:val="2"/>
            <w:shd w:val="clear" w:color="auto" w:fill="auto"/>
            <w:vAlign w:val="center"/>
            <w:hideMark/>
          </w:tcPr>
          <w:p w14:paraId="69E7DB6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Non-EUGR (n=93)</w:t>
            </w:r>
          </w:p>
        </w:tc>
        <w:tc>
          <w:tcPr>
            <w:tcW w:w="640" w:type="pct"/>
            <w:gridSpan w:val="2"/>
            <w:shd w:val="clear" w:color="auto" w:fill="auto"/>
            <w:vAlign w:val="center"/>
            <w:hideMark/>
          </w:tcPr>
          <w:p w14:paraId="7ED86C5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EUGR (n=27</w:t>
            </w:r>
            <w:proofErr w:type="gramStart"/>
            <w:r w:rsidRPr="009D4072">
              <w:rPr>
                <w:rFonts w:ascii="Times New Roman" w:eastAsia="Times New Roman" w:hAnsi="Times New Roman" w:cs="Times New Roman"/>
                <w:color w:val="000000"/>
                <w:sz w:val="20"/>
                <w:szCs w:val="20"/>
              </w:rPr>
              <w:t>; )</w:t>
            </w:r>
            <w:proofErr w:type="gramEnd"/>
          </w:p>
        </w:tc>
        <w:tc>
          <w:tcPr>
            <w:tcW w:w="371" w:type="pct"/>
            <w:shd w:val="clear" w:color="auto" w:fill="auto"/>
            <w:vAlign w:val="center"/>
            <w:hideMark/>
          </w:tcPr>
          <w:p w14:paraId="4FC1E7E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xml:space="preserve">p value </w:t>
            </w:r>
          </w:p>
        </w:tc>
        <w:tc>
          <w:tcPr>
            <w:tcW w:w="641" w:type="pct"/>
            <w:gridSpan w:val="2"/>
            <w:shd w:val="clear" w:color="auto" w:fill="auto"/>
            <w:vAlign w:val="center"/>
            <w:hideMark/>
          </w:tcPr>
          <w:p w14:paraId="5CE9704A"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Non-EUGR (N=190)</w:t>
            </w:r>
          </w:p>
        </w:tc>
        <w:tc>
          <w:tcPr>
            <w:tcW w:w="641" w:type="pct"/>
            <w:gridSpan w:val="2"/>
            <w:shd w:val="clear" w:color="auto" w:fill="auto"/>
            <w:vAlign w:val="center"/>
            <w:hideMark/>
          </w:tcPr>
          <w:p w14:paraId="0285A0A7"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xml:space="preserve"> EUGR (N=26</w:t>
            </w:r>
            <w:proofErr w:type="gramStart"/>
            <w:r w:rsidRPr="009D4072">
              <w:rPr>
                <w:rFonts w:ascii="Times New Roman" w:eastAsia="Times New Roman" w:hAnsi="Times New Roman" w:cs="Times New Roman"/>
                <w:color w:val="000000"/>
                <w:sz w:val="20"/>
                <w:szCs w:val="20"/>
              </w:rPr>
              <w:t>; )</w:t>
            </w:r>
            <w:proofErr w:type="gramEnd"/>
          </w:p>
        </w:tc>
        <w:tc>
          <w:tcPr>
            <w:tcW w:w="371" w:type="pct"/>
            <w:shd w:val="clear" w:color="auto" w:fill="auto"/>
            <w:vAlign w:val="center"/>
            <w:hideMark/>
          </w:tcPr>
          <w:p w14:paraId="5B70CB02"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xml:space="preserve">p value </w:t>
            </w:r>
          </w:p>
        </w:tc>
        <w:tc>
          <w:tcPr>
            <w:tcW w:w="321" w:type="pct"/>
            <w:shd w:val="clear" w:color="auto" w:fill="auto"/>
            <w:vAlign w:val="center"/>
            <w:hideMark/>
          </w:tcPr>
          <w:p w14:paraId="1128E93E"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p>
        </w:tc>
        <w:tc>
          <w:tcPr>
            <w:tcW w:w="478" w:type="pct"/>
            <w:shd w:val="clear" w:color="auto" w:fill="auto"/>
            <w:vAlign w:val="center"/>
            <w:hideMark/>
          </w:tcPr>
          <w:p w14:paraId="6988AE03"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p value for all 4 groups</w:t>
            </w:r>
          </w:p>
        </w:tc>
      </w:tr>
      <w:tr w:rsidR="009D4072" w:rsidRPr="009D4072" w14:paraId="351A7526" w14:textId="77777777" w:rsidTr="009D4072">
        <w:trPr>
          <w:trHeight w:val="360"/>
        </w:trPr>
        <w:tc>
          <w:tcPr>
            <w:tcW w:w="897" w:type="pct"/>
            <w:shd w:val="clear" w:color="auto" w:fill="auto"/>
            <w:vAlign w:val="center"/>
            <w:hideMark/>
          </w:tcPr>
          <w:p w14:paraId="01E255CE"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c>
          <w:tcPr>
            <w:tcW w:w="326" w:type="pct"/>
            <w:shd w:val="clear" w:color="auto" w:fill="auto"/>
            <w:vAlign w:val="center"/>
            <w:hideMark/>
          </w:tcPr>
          <w:p w14:paraId="63027868"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N</w:t>
            </w:r>
          </w:p>
        </w:tc>
        <w:tc>
          <w:tcPr>
            <w:tcW w:w="313" w:type="pct"/>
            <w:shd w:val="clear" w:color="auto" w:fill="auto"/>
            <w:vAlign w:val="center"/>
            <w:hideMark/>
          </w:tcPr>
          <w:p w14:paraId="70D20CF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w:t>
            </w:r>
          </w:p>
        </w:tc>
        <w:tc>
          <w:tcPr>
            <w:tcW w:w="326" w:type="pct"/>
            <w:shd w:val="clear" w:color="auto" w:fill="auto"/>
            <w:vAlign w:val="center"/>
            <w:hideMark/>
          </w:tcPr>
          <w:p w14:paraId="45475E4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N</w:t>
            </w:r>
          </w:p>
        </w:tc>
        <w:tc>
          <w:tcPr>
            <w:tcW w:w="314" w:type="pct"/>
            <w:shd w:val="clear" w:color="auto" w:fill="auto"/>
            <w:vAlign w:val="center"/>
            <w:hideMark/>
          </w:tcPr>
          <w:p w14:paraId="5DF7C23F"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w:t>
            </w:r>
          </w:p>
        </w:tc>
        <w:tc>
          <w:tcPr>
            <w:tcW w:w="371" w:type="pct"/>
            <w:shd w:val="clear" w:color="auto" w:fill="auto"/>
            <w:vAlign w:val="center"/>
            <w:hideMark/>
          </w:tcPr>
          <w:p w14:paraId="04E3D48A"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c>
          <w:tcPr>
            <w:tcW w:w="326" w:type="pct"/>
            <w:shd w:val="clear" w:color="auto" w:fill="auto"/>
            <w:vAlign w:val="center"/>
            <w:hideMark/>
          </w:tcPr>
          <w:p w14:paraId="335D69F5"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N</w:t>
            </w:r>
          </w:p>
        </w:tc>
        <w:tc>
          <w:tcPr>
            <w:tcW w:w="315" w:type="pct"/>
            <w:shd w:val="clear" w:color="auto" w:fill="auto"/>
            <w:vAlign w:val="center"/>
            <w:hideMark/>
          </w:tcPr>
          <w:p w14:paraId="21B69BD8"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w:t>
            </w:r>
          </w:p>
        </w:tc>
        <w:tc>
          <w:tcPr>
            <w:tcW w:w="326" w:type="pct"/>
            <w:shd w:val="clear" w:color="auto" w:fill="auto"/>
            <w:vAlign w:val="center"/>
            <w:hideMark/>
          </w:tcPr>
          <w:p w14:paraId="75857E0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N</w:t>
            </w:r>
          </w:p>
        </w:tc>
        <w:tc>
          <w:tcPr>
            <w:tcW w:w="315" w:type="pct"/>
            <w:shd w:val="clear" w:color="auto" w:fill="auto"/>
            <w:vAlign w:val="center"/>
            <w:hideMark/>
          </w:tcPr>
          <w:p w14:paraId="1D404369"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w:t>
            </w:r>
          </w:p>
        </w:tc>
        <w:tc>
          <w:tcPr>
            <w:tcW w:w="371" w:type="pct"/>
            <w:shd w:val="clear" w:color="auto" w:fill="auto"/>
            <w:vAlign w:val="center"/>
            <w:hideMark/>
          </w:tcPr>
          <w:p w14:paraId="4566D29C"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c>
          <w:tcPr>
            <w:tcW w:w="321" w:type="pct"/>
            <w:shd w:val="clear" w:color="auto" w:fill="auto"/>
            <w:vAlign w:val="center"/>
            <w:hideMark/>
          </w:tcPr>
          <w:p w14:paraId="14AA7EBF"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c>
          <w:tcPr>
            <w:tcW w:w="478" w:type="pct"/>
            <w:shd w:val="clear" w:color="auto" w:fill="auto"/>
            <w:vAlign w:val="center"/>
            <w:hideMark/>
          </w:tcPr>
          <w:p w14:paraId="6BCD1138"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r>
      <w:tr w:rsidR="009D4072" w:rsidRPr="009D4072" w14:paraId="1F2727FB" w14:textId="77777777" w:rsidTr="009D4072">
        <w:trPr>
          <w:trHeight w:val="360"/>
        </w:trPr>
        <w:tc>
          <w:tcPr>
            <w:tcW w:w="897" w:type="pct"/>
            <w:shd w:val="clear" w:color="auto" w:fill="auto"/>
            <w:vAlign w:val="center"/>
            <w:hideMark/>
          </w:tcPr>
          <w:p w14:paraId="530D0A8B"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Male</w:t>
            </w:r>
          </w:p>
        </w:tc>
        <w:tc>
          <w:tcPr>
            <w:tcW w:w="326" w:type="pct"/>
            <w:shd w:val="clear" w:color="auto" w:fill="auto"/>
            <w:vAlign w:val="center"/>
            <w:hideMark/>
          </w:tcPr>
          <w:p w14:paraId="365A6B3C"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46</w:t>
            </w:r>
          </w:p>
        </w:tc>
        <w:tc>
          <w:tcPr>
            <w:tcW w:w="313" w:type="pct"/>
            <w:shd w:val="clear" w:color="auto" w:fill="auto"/>
            <w:vAlign w:val="center"/>
            <w:hideMark/>
          </w:tcPr>
          <w:p w14:paraId="45D0B67C"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49</w:t>
            </w:r>
          </w:p>
        </w:tc>
        <w:tc>
          <w:tcPr>
            <w:tcW w:w="326" w:type="pct"/>
            <w:shd w:val="clear" w:color="auto" w:fill="auto"/>
            <w:vAlign w:val="center"/>
            <w:hideMark/>
          </w:tcPr>
          <w:p w14:paraId="72F59D2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12</w:t>
            </w:r>
          </w:p>
        </w:tc>
        <w:tc>
          <w:tcPr>
            <w:tcW w:w="314" w:type="pct"/>
            <w:shd w:val="clear" w:color="auto" w:fill="auto"/>
            <w:vAlign w:val="center"/>
            <w:hideMark/>
          </w:tcPr>
          <w:p w14:paraId="539A7612"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44</w:t>
            </w:r>
          </w:p>
        </w:tc>
        <w:tc>
          <w:tcPr>
            <w:tcW w:w="371" w:type="pct"/>
            <w:shd w:val="clear" w:color="auto" w:fill="auto"/>
            <w:vAlign w:val="center"/>
            <w:hideMark/>
          </w:tcPr>
          <w:p w14:paraId="67B08473"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0.65</w:t>
            </w:r>
          </w:p>
        </w:tc>
        <w:tc>
          <w:tcPr>
            <w:tcW w:w="326" w:type="pct"/>
            <w:shd w:val="clear" w:color="auto" w:fill="auto"/>
            <w:vAlign w:val="center"/>
            <w:hideMark/>
          </w:tcPr>
          <w:p w14:paraId="79D62FE7"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96</w:t>
            </w:r>
          </w:p>
        </w:tc>
        <w:tc>
          <w:tcPr>
            <w:tcW w:w="315" w:type="pct"/>
            <w:shd w:val="clear" w:color="auto" w:fill="auto"/>
            <w:vAlign w:val="center"/>
            <w:hideMark/>
          </w:tcPr>
          <w:p w14:paraId="28F8A1FD"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51</w:t>
            </w:r>
          </w:p>
        </w:tc>
        <w:tc>
          <w:tcPr>
            <w:tcW w:w="326" w:type="pct"/>
            <w:shd w:val="clear" w:color="auto" w:fill="auto"/>
            <w:vAlign w:val="center"/>
            <w:hideMark/>
          </w:tcPr>
          <w:p w14:paraId="656B1E2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16</w:t>
            </w:r>
          </w:p>
        </w:tc>
        <w:tc>
          <w:tcPr>
            <w:tcW w:w="315" w:type="pct"/>
            <w:shd w:val="clear" w:color="auto" w:fill="auto"/>
            <w:vAlign w:val="center"/>
            <w:hideMark/>
          </w:tcPr>
          <w:p w14:paraId="596FD32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62</w:t>
            </w:r>
          </w:p>
        </w:tc>
        <w:tc>
          <w:tcPr>
            <w:tcW w:w="371" w:type="pct"/>
            <w:shd w:val="clear" w:color="auto" w:fill="auto"/>
            <w:vAlign w:val="center"/>
            <w:hideMark/>
          </w:tcPr>
          <w:p w14:paraId="32050A23"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0.89</w:t>
            </w:r>
          </w:p>
        </w:tc>
        <w:tc>
          <w:tcPr>
            <w:tcW w:w="321" w:type="pct"/>
            <w:shd w:val="clear" w:color="auto" w:fill="auto"/>
            <w:vAlign w:val="center"/>
            <w:hideMark/>
          </w:tcPr>
          <w:p w14:paraId="0662C1AD"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0.36</w:t>
            </w:r>
          </w:p>
        </w:tc>
        <w:tc>
          <w:tcPr>
            <w:tcW w:w="478" w:type="pct"/>
            <w:shd w:val="clear" w:color="auto" w:fill="auto"/>
            <w:vAlign w:val="center"/>
            <w:hideMark/>
          </w:tcPr>
          <w:p w14:paraId="15ACBEFA"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0.64</w:t>
            </w:r>
          </w:p>
        </w:tc>
      </w:tr>
      <w:tr w:rsidR="009D4072" w:rsidRPr="009D4072" w14:paraId="6E8C370A" w14:textId="77777777" w:rsidTr="009D4072">
        <w:trPr>
          <w:trHeight w:val="360"/>
        </w:trPr>
        <w:tc>
          <w:tcPr>
            <w:tcW w:w="897" w:type="pct"/>
            <w:shd w:val="clear" w:color="auto" w:fill="auto"/>
            <w:vAlign w:val="center"/>
            <w:hideMark/>
          </w:tcPr>
          <w:p w14:paraId="3C3593A3"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c>
          <w:tcPr>
            <w:tcW w:w="326" w:type="pct"/>
            <w:shd w:val="clear" w:color="auto" w:fill="auto"/>
            <w:vAlign w:val="center"/>
            <w:hideMark/>
          </w:tcPr>
          <w:p w14:paraId="6E6DAAAE"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Mean</w:t>
            </w:r>
          </w:p>
        </w:tc>
        <w:tc>
          <w:tcPr>
            <w:tcW w:w="313" w:type="pct"/>
            <w:shd w:val="clear" w:color="auto" w:fill="auto"/>
            <w:vAlign w:val="center"/>
            <w:hideMark/>
          </w:tcPr>
          <w:p w14:paraId="0039C695"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SD</w:t>
            </w:r>
          </w:p>
        </w:tc>
        <w:tc>
          <w:tcPr>
            <w:tcW w:w="326" w:type="pct"/>
            <w:shd w:val="clear" w:color="auto" w:fill="auto"/>
            <w:vAlign w:val="center"/>
            <w:hideMark/>
          </w:tcPr>
          <w:p w14:paraId="4383EEDC"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Mean</w:t>
            </w:r>
          </w:p>
        </w:tc>
        <w:tc>
          <w:tcPr>
            <w:tcW w:w="314" w:type="pct"/>
            <w:shd w:val="clear" w:color="auto" w:fill="auto"/>
            <w:vAlign w:val="center"/>
            <w:hideMark/>
          </w:tcPr>
          <w:p w14:paraId="376F589F"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SD</w:t>
            </w:r>
          </w:p>
        </w:tc>
        <w:tc>
          <w:tcPr>
            <w:tcW w:w="371" w:type="pct"/>
            <w:shd w:val="clear" w:color="auto" w:fill="auto"/>
            <w:vAlign w:val="center"/>
            <w:hideMark/>
          </w:tcPr>
          <w:p w14:paraId="45A7A6CD"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c>
          <w:tcPr>
            <w:tcW w:w="326" w:type="pct"/>
            <w:shd w:val="clear" w:color="auto" w:fill="auto"/>
            <w:vAlign w:val="center"/>
            <w:hideMark/>
          </w:tcPr>
          <w:p w14:paraId="4BB6D48C"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Mean</w:t>
            </w:r>
          </w:p>
        </w:tc>
        <w:tc>
          <w:tcPr>
            <w:tcW w:w="315" w:type="pct"/>
            <w:shd w:val="clear" w:color="auto" w:fill="auto"/>
            <w:vAlign w:val="center"/>
            <w:hideMark/>
          </w:tcPr>
          <w:p w14:paraId="4004E30A"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SD</w:t>
            </w:r>
          </w:p>
        </w:tc>
        <w:tc>
          <w:tcPr>
            <w:tcW w:w="326" w:type="pct"/>
            <w:shd w:val="clear" w:color="auto" w:fill="auto"/>
            <w:vAlign w:val="center"/>
            <w:hideMark/>
          </w:tcPr>
          <w:p w14:paraId="1686CAD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Mean</w:t>
            </w:r>
          </w:p>
        </w:tc>
        <w:tc>
          <w:tcPr>
            <w:tcW w:w="315" w:type="pct"/>
            <w:shd w:val="clear" w:color="auto" w:fill="auto"/>
            <w:vAlign w:val="center"/>
            <w:hideMark/>
          </w:tcPr>
          <w:p w14:paraId="4C20ED5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SD</w:t>
            </w:r>
          </w:p>
        </w:tc>
        <w:tc>
          <w:tcPr>
            <w:tcW w:w="371" w:type="pct"/>
            <w:shd w:val="clear" w:color="auto" w:fill="auto"/>
            <w:vAlign w:val="center"/>
            <w:hideMark/>
          </w:tcPr>
          <w:p w14:paraId="263D8B1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c>
          <w:tcPr>
            <w:tcW w:w="321" w:type="pct"/>
            <w:shd w:val="clear" w:color="auto" w:fill="auto"/>
            <w:vAlign w:val="center"/>
            <w:hideMark/>
          </w:tcPr>
          <w:p w14:paraId="220D56C2"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c>
          <w:tcPr>
            <w:tcW w:w="478" w:type="pct"/>
            <w:shd w:val="clear" w:color="auto" w:fill="auto"/>
            <w:vAlign w:val="center"/>
            <w:hideMark/>
          </w:tcPr>
          <w:p w14:paraId="74C617CE"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 </w:t>
            </w:r>
          </w:p>
        </w:tc>
      </w:tr>
      <w:tr w:rsidR="009D4072" w:rsidRPr="009D4072" w14:paraId="54E862EF" w14:textId="77777777" w:rsidTr="009D4072">
        <w:trPr>
          <w:trHeight w:val="360"/>
        </w:trPr>
        <w:tc>
          <w:tcPr>
            <w:tcW w:w="897" w:type="pct"/>
            <w:shd w:val="clear" w:color="auto" w:fill="auto"/>
            <w:vAlign w:val="center"/>
            <w:hideMark/>
          </w:tcPr>
          <w:p w14:paraId="1428688E"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GA at birth (weeks)</w:t>
            </w:r>
          </w:p>
        </w:tc>
        <w:tc>
          <w:tcPr>
            <w:tcW w:w="326" w:type="pct"/>
            <w:shd w:val="clear" w:color="auto" w:fill="auto"/>
            <w:vAlign w:val="center"/>
            <w:hideMark/>
          </w:tcPr>
          <w:p w14:paraId="6D3FD50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29.1</w:t>
            </w:r>
          </w:p>
        </w:tc>
        <w:tc>
          <w:tcPr>
            <w:tcW w:w="313" w:type="pct"/>
            <w:shd w:val="clear" w:color="auto" w:fill="auto"/>
            <w:vAlign w:val="center"/>
            <w:hideMark/>
          </w:tcPr>
          <w:p w14:paraId="44DCEF72"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2.2</w:t>
            </w:r>
          </w:p>
        </w:tc>
        <w:tc>
          <w:tcPr>
            <w:tcW w:w="326" w:type="pct"/>
            <w:shd w:val="clear" w:color="auto" w:fill="auto"/>
            <w:vAlign w:val="center"/>
            <w:hideMark/>
          </w:tcPr>
          <w:p w14:paraId="6ADACA58"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29.7</w:t>
            </w:r>
          </w:p>
        </w:tc>
        <w:tc>
          <w:tcPr>
            <w:tcW w:w="314" w:type="pct"/>
            <w:shd w:val="clear" w:color="auto" w:fill="auto"/>
            <w:vAlign w:val="center"/>
            <w:hideMark/>
          </w:tcPr>
          <w:p w14:paraId="66917B5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2.3</w:t>
            </w:r>
          </w:p>
        </w:tc>
        <w:tc>
          <w:tcPr>
            <w:tcW w:w="371" w:type="pct"/>
            <w:shd w:val="clear" w:color="auto" w:fill="auto"/>
            <w:vAlign w:val="center"/>
            <w:hideMark/>
          </w:tcPr>
          <w:p w14:paraId="7634BB3F"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0.62</w:t>
            </w:r>
          </w:p>
        </w:tc>
        <w:tc>
          <w:tcPr>
            <w:tcW w:w="326" w:type="pct"/>
            <w:shd w:val="clear" w:color="auto" w:fill="auto"/>
            <w:vAlign w:val="center"/>
            <w:hideMark/>
          </w:tcPr>
          <w:p w14:paraId="60006482"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29.2</w:t>
            </w:r>
          </w:p>
        </w:tc>
        <w:tc>
          <w:tcPr>
            <w:tcW w:w="315" w:type="pct"/>
            <w:shd w:val="clear" w:color="auto" w:fill="auto"/>
            <w:vAlign w:val="center"/>
            <w:hideMark/>
          </w:tcPr>
          <w:p w14:paraId="0A1CBC8D"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2.3</w:t>
            </w:r>
          </w:p>
        </w:tc>
        <w:tc>
          <w:tcPr>
            <w:tcW w:w="326" w:type="pct"/>
            <w:shd w:val="clear" w:color="auto" w:fill="auto"/>
            <w:vAlign w:val="center"/>
            <w:hideMark/>
          </w:tcPr>
          <w:p w14:paraId="0B7A213A"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28.4</w:t>
            </w:r>
          </w:p>
        </w:tc>
        <w:tc>
          <w:tcPr>
            <w:tcW w:w="315" w:type="pct"/>
            <w:shd w:val="clear" w:color="auto" w:fill="auto"/>
            <w:vAlign w:val="center"/>
            <w:hideMark/>
          </w:tcPr>
          <w:p w14:paraId="675963C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2.7</w:t>
            </w:r>
          </w:p>
        </w:tc>
        <w:tc>
          <w:tcPr>
            <w:tcW w:w="371" w:type="pct"/>
            <w:shd w:val="clear" w:color="auto" w:fill="auto"/>
            <w:vAlign w:val="center"/>
            <w:hideMark/>
          </w:tcPr>
          <w:p w14:paraId="6B5645A6"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0.40</w:t>
            </w:r>
          </w:p>
        </w:tc>
        <w:tc>
          <w:tcPr>
            <w:tcW w:w="321" w:type="pct"/>
            <w:shd w:val="clear" w:color="auto" w:fill="auto"/>
            <w:vAlign w:val="center"/>
            <w:hideMark/>
          </w:tcPr>
          <w:p w14:paraId="67BAE883"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0.20</w:t>
            </w:r>
          </w:p>
        </w:tc>
        <w:tc>
          <w:tcPr>
            <w:tcW w:w="478" w:type="pct"/>
            <w:shd w:val="clear" w:color="auto" w:fill="auto"/>
            <w:vAlign w:val="center"/>
            <w:hideMark/>
          </w:tcPr>
          <w:p w14:paraId="0876E97F"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0.25</w:t>
            </w:r>
          </w:p>
        </w:tc>
      </w:tr>
      <w:tr w:rsidR="009D4072" w:rsidRPr="009D4072" w14:paraId="27DE9BCA" w14:textId="77777777" w:rsidTr="009D4072">
        <w:trPr>
          <w:trHeight w:val="360"/>
        </w:trPr>
        <w:tc>
          <w:tcPr>
            <w:tcW w:w="897" w:type="pct"/>
            <w:shd w:val="clear" w:color="auto" w:fill="auto"/>
            <w:vAlign w:val="center"/>
            <w:hideMark/>
          </w:tcPr>
          <w:p w14:paraId="722854B2"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Birth weight (g)</w:t>
            </w:r>
          </w:p>
        </w:tc>
        <w:tc>
          <w:tcPr>
            <w:tcW w:w="326" w:type="pct"/>
            <w:shd w:val="clear" w:color="auto" w:fill="auto"/>
            <w:vAlign w:val="center"/>
            <w:hideMark/>
          </w:tcPr>
          <w:p w14:paraId="104623C2"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1279</w:t>
            </w:r>
          </w:p>
        </w:tc>
        <w:tc>
          <w:tcPr>
            <w:tcW w:w="313" w:type="pct"/>
            <w:shd w:val="clear" w:color="auto" w:fill="auto"/>
            <w:vAlign w:val="center"/>
            <w:hideMark/>
          </w:tcPr>
          <w:p w14:paraId="6DD67CF3"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356</w:t>
            </w:r>
          </w:p>
        </w:tc>
        <w:tc>
          <w:tcPr>
            <w:tcW w:w="326" w:type="pct"/>
            <w:shd w:val="clear" w:color="auto" w:fill="auto"/>
            <w:vAlign w:val="center"/>
            <w:hideMark/>
          </w:tcPr>
          <w:p w14:paraId="58846E50"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1115</w:t>
            </w:r>
          </w:p>
        </w:tc>
        <w:tc>
          <w:tcPr>
            <w:tcW w:w="314" w:type="pct"/>
            <w:shd w:val="clear" w:color="auto" w:fill="auto"/>
            <w:vAlign w:val="center"/>
            <w:hideMark/>
          </w:tcPr>
          <w:p w14:paraId="6B88CC99"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250</w:t>
            </w:r>
          </w:p>
        </w:tc>
        <w:tc>
          <w:tcPr>
            <w:tcW w:w="371" w:type="pct"/>
            <w:shd w:val="clear" w:color="auto" w:fill="auto"/>
            <w:vAlign w:val="center"/>
            <w:hideMark/>
          </w:tcPr>
          <w:p w14:paraId="7A1E0C1B"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0.17</w:t>
            </w:r>
          </w:p>
        </w:tc>
        <w:tc>
          <w:tcPr>
            <w:tcW w:w="326" w:type="pct"/>
            <w:shd w:val="clear" w:color="auto" w:fill="auto"/>
            <w:vAlign w:val="center"/>
            <w:hideMark/>
          </w:tcPr>
          <w:p w14:paraId="6DC351D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1330</w:t>
            </w:r>
          </w:p>
        </w:tc>
        <w:tc>
          <w:tcPr>
            <w:tcW w:w="315" w:type="pct"/>
            <w:shd w:val="clear" w:color="auto" w:fill="auto"/>
            <w:vAlign w:val="center"/>
            <w:hideMark/>
          </w:tcPr>
          <w:p w14:paraId="7927331D"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393</w:t>
            </w:r>
          </w:p>
        </w:tc>
        <w:tc>
          <w:tcPr>
            <w:tcW w:w="326" w:type="pct"/>
            <w:shd w:val="clear" w:color="auto" w:fill="auto"/>
            <w:vAlign w:val="center"/>
            <w:hideMark/>
          </w:tcPr>
          <w:p w14:paraId="6FE0DE89"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998</w:t>
            </w:r>
          </w:p>
        </w:tc>
        <w:tc>
          <w:tcPr>
            <w:tcW w:w="315" w:type="pct"/>
            <w:shd w:val="clear" w:color="auto" w:fill="auto"/>
            <w:vAlign w:val="center"/>
            <w:hideMark/>
          </w:tcPr>
          <w:p w14:paraId="20C6297A"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270</w:t>
            </w:r>
          </w:p>
        </w:tc>
        <w:tc>
          <w:tcPr>
            <w:tcW w:w="371" w:type="pct"/>
            <w:shd w:val="clear" w:color="auto" w:fill="auto"/>
            <w:vAlign w:val="center"/>
            <w:hideMark/>
          </w:tcPr>
          <w:p w14:paraId="6D3202F6"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0.0001</w:t>
            </w:r>
          </w:p>
        </w:tc>
        <w:tc>
          <w:tcPr>
            <w:tcW w:w="321" w:type="pct"/>
            <w:shd w:val="clear" w:color="auto" w:fill="auto"/>
            <w:vAlign w:val="center"/>
            <w:hideMark/>
          </w:tcPr>
          <w:p w14:paraId="32A888CF"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0.65</w:t>
            </w:r>
          </w:p>
        </w:tc>
        <w:tc>
          <w:tcPr>
            <w:tcW w:w="478" w:type="pct"/>
            <w:shd w:val="clear" w:color="auto" w:fill="auto"/>
            <w:vAlign w:val="center"/>
            <w:hideMark/>
          </w:tcPr>
          <w:p w14:paraId="06954757"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 (Take all stat significant p values out to no more than 3 decimals)</w:t>
            </w:r>
          </w:p>
        </w:tc>
      </w:tr>
      <w:tr w:rsidR="009D4072" w:rsidRPr="009D4072" w14:paraId="1EEC9480" w14:textId="77777777" w:rsidTr="009D4072">
        <w:trPr>
          <w:trHeight w:val="360"/>
        </w:trPr>
        <w:tc>
          <w:tcPr>
            <w:tcW w:w="897" w:type="pct"/>
            <w:shd w:val="clear" w:color="auto" w:fill="auto"/>
            <w:vAlign w:val="center"/>
            <w:hideMark/>
          </w:tcPr>
          <w:p w14:paraId="220B5D4A"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Discharge weight (g)</w:t>
            </w:r>
          </w:p>
        </w:tc>
        <w:tc>
          <w:tcPr>
            <w:tcW w:w="326" w:type="pct"/>
            <w:shd w:val="clear" w:color="auto" w:fill="auto"/>
            <w:vAlign w:val="center"/>
            <w:hideMark/>
          </w:tcPr>
          <w:p w14:paraId="2906AF9C"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2755</w:t>
            </w:r>
          </w:p>
        </w:tc>
        <w:tc>
          <w:tcPr>
            <w:tcW w:w="313" w:type="pct"/>
            <w:shd w:val="clear" w:color="auto" w:fill="auto"/>
            <w:vAlign w:val="center"/>
            <w:hideMark/>
          </w:tcPr>
          <w:p w14:paraId="008BB158"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639</w:t>
            </w:r>
          </w:p>
        </w:tc>
        <w:tc>
          <w:tcPr>
            <w:tcW w:w="326" w:type="pct"/>
            <w:shd w:val="clear" w:color="auto" w:fill="auto"/>
            <w:vAlign w:val="center"/>
            <w:hideMark/>
          </w:tcPr>
          <w:p w14:paraId="0A1F1CE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2289</w:t>
            </w:r>
          </w:p>
        </w:tc>
        <w:tc>
          <w:tcPr>
            <w:tcW w:w="314" w:type="pct"/>
            <w:shd w:val="clear" w:color="auto" w:fill="auto"/>
            <w:vAlign w:val="center"/>
            <w:hideMark/>
          </w:tcPr>
          <w:p w14:paraId="66A418D7"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470</w:t>
            </w:r>
          </w:p>
        </w:tc>
        <w:tc>
          <w:tcPr>
            <w:tcW w:w="371" w:type="pct"/>
            <w:shd w:val="clear" w:color="auto" w:fill="auto"/>
            <w:vAlign w:val="center"/>
            <w:hideMark/>
          </w:tcPr>
          <w:p w14:paraId="4059D66C"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0.005</w:t>
            </w:r>
          </w:p>
        </w:tc>
        <w:tc>
          <w:tcPr>
            <w:tcW w:w="326" w:type="pct"/>
            <w:shd w:val="clear" w:color="auto" w:fill="auto"/>
            <w:vAlign w:val="center"/>
            <w:hideMark/>
          </w:tcPr>
          <w:p w14:paraId="5183B50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2936</w:t>
            </w:r>
          </w:p>
        </w:tc>
        <w:tc>
          <w:tcPr>
            <w:tcW w:w="315" w:type="pct"/>
            <w:shd w:val="clear" w:color="auto" w:fill="auto"/>
            <w:vAlign w:val="center"/>
            <w:hideMark/>
          </w:tcPr>
          <w:p w14:paraId="44C434BE"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595</w:t>
            </w:r>
          </w:p>
        </w:tc>
        <w:tc>
          <w:tcPr>
            <w:tcW w:w="326" w:type="pct"/>
            <w:shd w:val="clear" w:color="auto" w:fill="auto"/>
            <w:vAlign w:val="center"/>
            <w:hideMark/>
          </w:tcPr>
          <w:p w14:paraId="36283225"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2573</w:t>
            </w:r>
          </w:p>
        </w:tc>
        <w:tc>
          <w:tcPr>
            <w:tcW w:w="315" w:type="pct"/>
            <w:shd w:val="clear" w:color="auto" w:fill="auto"/>
            <w:vAlign w:val="center"/>
            <w:hideMark/>
          </w:tcPr>
          <w:p w14:paraId="3F18761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596</w:t>
            </w:r>
          </w:p>
        </w:tc>
        <w:tc>
          <w:tcPr>
            <w:tcW w:w="371" w:type="pct"/>
            <w:shd w:val="clear" w:color="auto" w:fill="auto"/>
            <w:vAlign w:val="center"/>
            <w:hideMark/>
          </w:tcPr>
          <w:p w14:paraId="2877BA49"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0.0206</w:t>
            </w:r>
          </w:p>
        </w:tc>
        <w:tc>
          <w:tcPr>
            <w:tcW w:w="321" w:type="pct"/>
            <w:shd w:val="clear" w:color="auto" w:fill="auto"/>
            <w:vAlign w:val="center"/>
            <w:hideMark/>
          </w:tcPr>
          <w:p w14:paraId="14323925"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0.31</w:t>
            </w:r>
          </w:p>
        </w:tc>
        <w:tc>
          <w:tcPr>
            <w:tcW w:w="478" w:type="pct"/>
            <w:shd w:val="clear" w:color="auto" w:fill="auto"/>
            <w:vAlign w:val="center"/>
            <w:hideMark/>
          </w:tcPr>
          <w:p w14:paraId="65C703E0"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r>
      <w:tr w:rsidR="009D4072" w:rsidRPr="009D4072" w14:paraId="74426A90" w14:textId="77777777" w:rsidTr="009D4072">
        <w:trPr>
          <w:trHeight w:val="360"/>
        </w:trPr>
        <w:tc>
          <w:tcPr>
            <w:tcW w:w="897" w:type="pct"/>
            <w:shd w:val="clear" w:color="auto" w:fill="auto"/>
            <w:vAlign w:val="center"/>
            <w:hideMark/>
          </w:tcPr>
          <w:p w14:paraId="7509AA18"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lastRenderedPageBreak/>
              <w:t>Birth weight z score</w:t>
            </w:r>
          </w:p>
        </w:tc>
        <w:tc>
          <w:tcPr>
            <w:tcW w:w="326" w:type="pct"/>
            <w:shd w:val="clear" w:color="auto" w:fill="auto"/>
            <w:vAlign w:val="center"/>
            <w:hideMark/>
          </w:tcPr>
          <w:p w14:paraId="0ECF5262"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0.19</w:t>
            </w:r>
          </w:p>
        </w:tc>
        <w:tc>
          <w:tcPr>
            <w:tcW w:w="313" w:type="pct"/>
            <w:shd w:val="clear" w:color="auto" w:fill="auto"/>
            <w:vAlign w:val="center"/>
            <w:hideMark/>
          </w:tcPr>
          <w:p w14:paraId="42983039"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0.70</w:t>
            </w:r>
          </w:p>
        </w:tc>
        <w:tc>
          <w:tcPr>
            <w:tcW w:w="326" w:type="pct"/>
            <w:shd w:val="clear" w:color="auto" w:fill="auto"/>
            <w:vAlign w:val="center"/>
            <w:hideMark/>
          </w:tcPr>
          <w:p w14:paraId="637EE48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-0.68</w:t>
            </w:r>
          </w:p>
        </w:tc>
        <w:tc>
          <w:tcPr>
            <w:tcW w:w="314" w:type="pct"/>
            <w:shd w:val="clear" w:color="auto" w:fill="auto"/>
            <w:vAlign w:val="center"/>
            <w:hideMark/>
          </w:tcPr>
          <w:p w14:paraId="161114FD"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0.52</w:t>
            </w:r>
          </w:p>
        </w:tc>
        <w:tc>
          <w:tcPr>
            <w:tcW w:w="371" w:type="pct"/>
            <w:shd w:val="clear" w:color="auto" w:fill="auto"/>
            <w:vAlign w:val="center"/>
            <w:hideMark/>
          </w:tcPr>
          <w:p w14:paraId="285EE582"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&lt;.001</w:t>
            </w:r>
          </w:p>
        </w:tc>
        <w:tc>
          <w:tcPr>
            <w:tcW w:w="326" w:type="pct"/>
            <w:shd w:val="clear" w:color="auto" w:fill="auto"/>
            <w:vAlign w:val="center"/>
            <w:hideMark/>
          </w:tcPr>
          <w:p w14:paraId="5B977D86"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0.15</w:t>
            </w:r>
          </w:p>
        </w:tc>
        <w:tc>
          <w:tcPr>
            <w:tcW w:w="315" w:type="pct"/>
            <w:shd w:val="clear" w:color="auto" w:fill="auto"/>
            <w:vAlign w:val="center"/>
            <w:hideMark/>
          </w:tcPr>
          <w:p w14:paraId="5DB75A97"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0.79</w:t>
            </w:r>
          </w:p>
        </w:tc>
        <w:tc>
          <w:tcPr>
            <w:tcW w:w="326" w:type="pct"/>
            <w:shd w:val="clear" w:color="auto" w:fill="auto"/>
            <w:vAlign w:val="center"/>
            <w:hideMark/>
          </w:tcPr>
          <w:p w14:paraId="5E1B35AF"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-0.59</w:t>
            </w:r>
          </w:p>
        </w:tc>
        <w:tc>
          <w:tcPr>
            <w:tcW w:w="315" w:type="pct"/>
            <w:shd w:val="clear" w:color="auto" w:fill="auto"/>
            <w:vAlign w:val="center"/>
            <w:hideMark/>
          </w:tcPr>
          <w:p w14:paraId="54E76AD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0.55</w:t>
            </w:r>
          </w:p>
        </w:tc>
        <w:tc>
          <w:tcPr>
            <w:tcW w:w="371" w:type="pct"/>
            <w:shd w:val="clear" w:color="auto" w:fill="auto"/>
            <w:vAlign w:val="center"/>
            <w:hideMark/>
          </w:tcPr>
          <w:p w14:paraId="4CF9B183"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c>
          <w:tcPr>
            <w:tcW w:w="321" w:type="pct"/>
            <w:shd w:val="clear" w:color="auto" w:fill="auto"/>
            <w:vAlign w:val="center"/>
            <w:hideMark/>
          </w:tcPr>
          <w:p w14:paraId="221BC369"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0.97</w:t>
            </w:r>
          </w:p>
        </w:tc>
        <w:tc>
          <w:tcPr>
            <w:tcW w:w="478" w:type="pct"/>
            <w:shd w:val="clear" w:color="auto" w:fill="auto"/>
            <w:vAlign w:val="center"/>
            <w:hideMark/>
          </w:tcPr>
          <w:p w14:paraId="1E245E4D"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r>
      <w:tr w:rsidR="009D4072" w:rsidRPr="009D4072" w14:paraId="5F6B99C2" w14:textId="77777777" w:rsidTr="009D4072">
        <w:trPr>
          <w:trHeight w:val="360"/>
        </w:trPr>
        <w:tc>
          <w:tcPr>
            <w:tcW w:w="897" w:type="pct"/>
            <w:shd w:val="clear" w:color="auto" w:fill="auto"/>
            <w:vAlign w:val="center"/>
            <w:hideMark/>
          </w:tcPr>
          <w:p w14:paraId="32FF182A"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Discharge weight z score</w:t>
            </w:r>
          </w:p>
        </w:tc>
        <w:tc>
          <w:tcPr>
            <w:tcW w:w="326" w:type="pct"/>
            <w:shd w:val="clear" w:color="auto" w:fill="auto"/>
            <w:vAlign w:val="center"/>
            <w:hideMark/>
          </w:tcPr>
          <w:p w14:paraId="7F4ED4DA"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-0.44</w:t>
            </w:r>
          </w:p>
        </w:tc>
        <w:tc>
          <w:tcPr>
            <w:tcW w:w="313" w:type="pct"/>
            <w:shd w:val="clear" w:color="auto" w:fill="auto"/>
            <w:vAlign w:val="center"/>
            <w:hideMark/>
          </w:tcPr>
          <w:p w14:paraId="0E48A7FC"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0.65</w:t>
            </w:r>
          </w:p>
        </w:tc>
        <w:tc>
          <w:tcPr>
            <w:tcW w:w="326" w:type="pct"/>
            <w:shd w:val="clear" w:color="auto" w:fill="auto"/>
            <w:vAlign w:val="center"/>
            <w:hideMark/>
          </w:tcPr>
          <w:p w14:paraId="14611A88"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-1.67</w:t>
            </w:r>
          </w:p>
        </w:tc>
        <w:tc>
          <w:tcPr>
            <w:tcW w:w="314" w:type="pct"/>
            <w:shd w:val="clear" w:color="auto" w:fill="auto"/>
            <w:vAlign w:val="center"/>
            <w:hideMark/>
          </w:tcPr>
          <w:p w14:paraId="6C439EC8"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0.30</w:t>
            </w:r>
          </w:p>
        </w:tc>
        <w:tc>
          <w:tcPr>
            <w:tcW w:w="371" w:type="pct"/>
            <w:shd w:val="clear" w:color="auto" w:fill="auto"/>
            <w:vAlign w:val="center"/>
            <w:hideMark/>
          </w:tcPr>
          <w:p w14:paraId="792F5484"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&lt;.001</w:t>
            </w:r>
          </w:p>
        </w:tc>
        <w:tc>
          <w:tcPr>
            <w:tcW w:w="326" w:type="pct"/>
            <w:shd w:val="clear" w:color="auto" w:fill="auto"/>
            <w:vAlign w:val="center"/>
            <w:hideMark/>
          </w:tcPr>
          <w:p w14:paraId="27CA418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-0.25</w:t>
            </w:r>
          </w:p>
        </w:tc>
        <w:tc>
          <w:tcPr>
            <w:tcW w:w="315" w:type="pct"/>
            <w:shd w:val="clear" w:color="auto" w:fill="auto"/>
            <w:vAlign w:val="center"/>
            <w:hideMark/>
          </w:tcPr>
          <w:p w14:paraId="15403EA5"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0.61</w:t>
            </w:r>
          </w:p>
        </w:tc>
        <w:tc>
          <w:tcPr>
            <w:tcW w:w="326" w:type="pct"/>
            <w:shd w:val="clear" w:color="auto" w:fill="auto"/>
            <w:vAlign w:val="center"/>
            <w:hideMark/>
          </w:tcPr>
          <w:p w14:paraId="5CB003AD"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-1.74</w:t>
            </w:r>
          </w:p>
        </w:tc>
        <w:tc>
          <w:tcPr>
            <w:tcW w:w="315" w:type="pct"/>
            <w:shd w:val="clear" w:color="auto" w:fill="auto"/>
            <w:vAlign w:val="center"/>
            <w:hideMark/>
          </w:tcPr>
          <w:p w14:paraId="6789E57A"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0.39</w:t>
            </w:r>
          </w:p>
        </w:tc>
        <w:tc>
          <w:tcPr>
            <w:tcW w:w="371" w:type="pct"/>
            <w:shd w:val="clear" w:color="auto" w:fill="auto"/>
            <w:vAlign w:val="center"/>
            <w:hideMark/>
          </w:tcPr>
          <w:p w14:paraId="30356D29"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c>
          <w:tcPr>
            <w:tcW w:w="321" w:type="pct"/>
            <w:shd w:val="clear" w:color="auto" w:fill="auto"/>
            <w:vAlign w:val="center"/>
            <w:hideMark/>
          </w:tcPr>
          <w:p w14:paraId="0CA990B2"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0.97</w:t>
            </w:r>
          </w:p>
        </w:tc>
        <w:tc>
          <w:tcPr>
            <w:tcW w:w="478" w:type="pct"/>
            <w:shd w:val="clear" w:color="auto" w:fill="auto"/>
            <w:vAlign w:val="center"/>
            <w:hideMark/>
          </w:tcPr>
          <w:p w14:paraId="6020A520"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r>
      <w:tr w:rsidR="009D4072" w:rsidRPr="009D4072" w14:paraId="63482E1B" w14:textId="77777777" w:rsidTr="009D4072">
        <w:trPr>
          <w:trHeight w:val="360"/>
        </w:trPr>
        <w:tc>
          <w:tcPr>
            <w:tcW w:w="897" w:type="pct"/>
            <w:shd w:val="clear" w:color="auto" w:fill="auto"/>
            <w:vAlign w:val="center"/>
            <w:hideMark/>
          </w:tcPr>
          <w:p w14:paraId="3DF69F36"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Change</w:t>
            </w:r>
          </w:p>
        </w:tc>
        <w:tc>
          <w:tcPr>
            <w:tcW w:w="326" w:type="pct"/>
            <w:shd w:val="clear" w:color="auto" w:fill="auto"/>
            <w:vAlign w:val="center"/>
            <w:hideMark/>
          </w:tcPr>
          <w:p w14:paraId="3946BE7F"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-0.62</w:t>
            </w:r>
          </w:p>
        </w:tc>
        <w:tc>
          <w:tcPr>
            <w:tcW w:w="313" w:type="pct"/>
            <w:shd w:val="clear" w:color="auto" w:fill="auto"/>
            <w:vAlign w:val="center"/>
            <w:hideMark/>
          </w:tcPr>
          <w:p w14:paraId="6A06ECD8"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0.75</w:t>
            </w:r>
          </w:p>
        </w:tc>
        <w:tc>
          <w:tcPr>
            <w:tcW w:w="326" w:type="pct"/>
            <w:shd w:val="clear" w:color="auto" w:fill="auto"/>
            <w:vAlign w:val="center"/>
            <w:hideMark/>
          </w:tcPr>
          <w:p w14:paraId="26B90B16"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-0.99</w:t>
            </w:r>
          </w:p>
        </w:tc>
        <w:tc>
          <w:tcPr>
            <w:tcW w:w="314" w:type="pct"/>
            <w:shd w:val="clear" w:color="auto" w:fill="auto"/>
            <w:vAlign w:val="center"/>
            <w:hideMark/>
          </w:tcPr>
          <w:p w14:paraId="23EB250F"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0.49</w:t>
            </w:r>
          </w:p>
        </w:tc>
        <w:tc>
          <w:tcPr>
            <w:tcW w:w="371" w:type="pct"/>
            <w:shd w:val="clear" w:color="auto" w:fill="auto"/>
            <w:vAlign w:val="center"/>
            <w:hideMark/>
          </w:tcPr>
          <w:p w14:paraId="0EF970AB"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0.11</w:t>
            </w:r>
          </w:p>
        </w:tc>
        <w:tc>
          <w:tcPr>
            <w:tcW w:w="326" w:type="pct"/>
            <w:shd w:val="clear" w:color="auto" w:fill="auto"/>
            <w:vAlign w:val="center"/>
            <w:hideMark/>
          </w:tcPr>
          <w:p w14:paraId="1263F6CA"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-0.40</w:t>
            </w:r>
          </w:p>
        </w:tc>
        <w:tc>
          <w:tcPr>
            <w:tcW w:w="315" w:type="pct"/>
            <w:shd w:val="clear" w:color="auto" w:fill="auto"/>
            <w:vAlign w:val="center"/>
            <w:hideMark/>
          </w:tcPr>
          <w:p w14:paraId="1FFF4C5F"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0.79</w:t>
            </w:r>
          </w:p>
        </w:tc>
        <w:tc>
          <w:tcPr>
            <w:tcW w:w="326" w:type="pct"/>
            <w:shd w:val="clear" w:color="auto" w:fill="auto"/>
            <w:vAlign w:val="center"/>
            <w:hideMark/>
          </w:tcPr>
          <w:p w14:paraId="202199B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-1.15</w:t>
            </w:r>
          </w:p>
        </w:tc>
        <w:tc>
          <w:tcPr>
            <w:tcW w:w="315" w:type="pct"/>
            <w:shd w:val="clear" w:color="auto" w:fill="auto"/>
            <w:vAlign w:val="center"/>
            <w:hideMark/>
          </w:tcPr>
          <w:p w14:paraId="441242EA"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0.80</w:t>
            </w:r>
          </w:p>
        </w:tc>
        <w:tc>
          <w:tcPr>
            <w:tcW w:w="371" w:type="pct"/>
            <w:shd w:val="clear" w:color="auto" w:fill="auto"/>
            <w:vAlign w:val="center"/>
            <w:hideMark/>
          </w:tcPr>
          <w:p w14:paraId="0B9DF183"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c>
          <w:tcPr>
            <w:tcW w:w="321" w:type="pct"/>
            <w:shd w:val="clear" w:color="auto" w:fill="auto"/>
            <w:vAlign w:val="center"/>
            <w:hideMark/>
          </w:tcPr>
          <w:p w14:paraId="4546F4A6"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0.87</w:t>
            </w:r>
          </w:p>
        </w:tc>
        <w:tc>
          <w:tcPr>
            <w:tcW w:w="478" w:type="pct"/>
            <w:shd w:val="clear" w:color="auto" w:fill="auto"/>
            <w:vAlign w:val="center"/>
            <w:hideMark/>
          </w:tcPr>
          <w:p w14:paraId="4E2457C6"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r>
      <w:tr w:rsidR="009D4072" w:rsidRPr="009D4072" w14:paraId="0A84DED7" w14:textId="77777777" w:rsidTr="009D4072">
        <w:trPr>
          <w:trHeight w:val="360"/>
        </w:trPr>
        <w:tc>
          <w:tcPr>
            <w:tcW w:w="897" w:type="pct"/>
            <w:shd w:val="clear" w:color="auto" w:fill="auto"/>
            <w:vAlign w:val="center"/>
            <w:hideMark/>
          </w:tcPr>
          <w:p w14:paraId="631DA037"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Birth weight %tile</w:t>
            </w:r>
          </w:p>
        </w:tc>
        <w:tc>
          <w:tcPr>
            <w:tcW w:w="326" w:type="pct"/>
            <w:shd w:val="clear" w:color="auto" w:fill="auto"/>
            <w:vAlign w:val="center"/>
            <w:hideMark/>
          </w:tcPr>
          <w:p w14:paraId="02985917"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55.6</w:t>
            </w:r>
          </w:p>
        </w:tc>
        <w:tc>
          <w:tcPr>
            <w:tcW w:w="313" w:type="pct"/>
            <w:shd w:val="clear" w:color="auto" w:fill="auto"/>
            <w:vAlign w:val="center"/>
            <w:hideMark/>
          </w:tcPr>
          <w:p w14:paraId="299E8B8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22.9</w:t>
            </w:r>
          </w:p>
        </w:tc>
        <w:tc>
          <w:tcPr>
            <w:tcW w:w="326" w:type="pct"/>
            <w:shd w:val="clear" w:color="auto" w:fill="auto"/>
            <w:vAlign w:val="center"/>
            <w:hideMark/>
          </w:tcPr>
          <w:p w14:paraId="425C1237"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26.4</w:t>
            </w:r>
          </w:p>
        </w:tc>
        <w:tc>
          <w:tcPr>
            <w:tcW w:w="314" w:type="pct"/>
            <w:shd w:val="clear" w:color="auto" w:fill="auto"/>
            <w:vAlign w:val="center"/>
            <w:hideMark/>
          </w:tcPr>
          <w:p w14:paraId="613393B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17.4</w:t>
            </w:r>
          </w:p>
        </w:tc>
        <w:tc>
          <w:tcPr>
            <w:tcW w:w="371" w:type="pct"/>
            <w:shd w:val="clear" w:color="auto" w:fill="auto"/>
            <w:vAlign w:val="center"/>
            <w:hideMark/>
          </w:tcPr>
          <w:p w14:paraId="12B75F47"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&lt;.001</w:t>
            </w:r>
          </w:p>
        </w:tc>
        <w:tc>
          <w:tcPr>
            <w:tcW w:w="326" w:type="pct"/>
            <w:shd w:val="clear" w:color="auto" w:fill="auto"/>
            <w:vAlign w:val="center"/>
            <w:hideMark/>
          </w:tcPr>
          <w:p w14:paraId="1FCEE150"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56.3</w:t>
            </w:r>
          </w:p>
        </w:tc>
        <w:tc>
          <w:tcPr>
            <w:tcW w:w="315" w:type="pct"/>
            <w:shd w:val="clear" w:color="auto" w:fill="auto"/>
            <w:vAlign w:val="center"/>
            <w:hideMark/>
          </w:tcPr>
          <w:p w14:paraId="5EA68E94"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22.0</w:t>
            </w:r>
          </w:p>
        </w:tc>
        <w:tc>
          <w:tcPr>
            <w:tcW w:w="326" w:type="pct"/>
            <w:shd w:val="clear" w:color="auto" w:fill="auto"/>
            <w:vAlign w:val="center"/>
            <w:hideMark/>
          </w:tcPr>
          <w:p w14:paraId="36B8BFC6"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29.2</w:t>
            </w:r>
          </w:p>
        </w:tc>
        <w:tc>
          <w:tcPr>
            <w:tcW w:w="315" w:type="pct"/>
            <w:shd w:val="clear" w:color="auto" w:fill="auto"/>
            <w:vAlign w:val="center"/>
            <w:hideMark/>
          </w:tcPr>
          <w:p w14:paraId="68A1DA0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18.7</w:t>
            </w:r>
          </w:p>
        </w:tc>
        <w:tc>
          <w:tcPr>
            <w:tcW w:w="371" w:type="pct"/>
            <w:shd w:val="clear" w:color="auto" w:fill="auto"/>
            <w:vAlign w:val="center"/>
            <w:hideMark/>
          </w:tcPr>
          <w:p w14:paraId="243558B8"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c>
          <w:tcPr>
            <w:tcW w:w="321" w:type="pct"/>
            <w:shd w:val="clear" w:color="auto" w:fill="auto"/>
            <w:vAlign w:val="center"/>
            <w:hideMark/>
          </w:tcPr>
          <w:p w14:paraId="2D994417"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0.97</w:t>
            </w:r>
          </w:p>
        </w:tc>
        <w:tc>
          <w:tcPr>
            <w:tcW w:w="478" w:type="pct"/>
            <w:shd w:val="clear" w:color="auto" w:fill="auto"/>
            <w:vAlign w:val="center"/>
            <w:hideMark/>
          </w:tcPr>
          <w:p w14:paraId="6BD5F780"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r>
      <w:tr w:rsidR="009D4072" w:rsidRPr="009D4072" w14:paraId="262CE3A4" w14:textId="77777777" w:rsidTr="009D4072">
        <w:trPr>
          <w:trHeight w:val="360"/>
        </w:trPr>
        <w:tc>
          <w:tcPr>
            <w:tcW w:w="897" w:type="pct"/>
            <w:shd w:val="clear" w:color="auto" w:fill="auto"/>
            <w:vAlign w:val="center"/>
            <w:hideMark/>
          </w:tcPr>
          <w:p w14:paraId="2665A2F7" w14:textId="77777777" w:rsidR="004A45CC" w:rsidRPr="009D4072" w:rsidRDefault="004A45CC" w:rsidP="009D407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Discharge weight %tile</w:t>
            </w:r>
          </w:p>
        </w:tc>
        <w:tc>
          <w:tcPr>
            <w:tcW w:w="326" w:type="pct"/>
            <w:shd w:val="clear" w:color="auto" w:fill="auto"/>
            <w:vAlign w:val="center"/>
            <w:hideMark/>
          </w:tcPr>
          <w:p w14:paraId="2429B4CD"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34.7</w:t>
            </w:r>
          </w:p>
        </w:tc>
        <w:tc>
          <w:tcPr>
            <w:tcW w:w="313" w:type="pct"/>
            <w:shd w:val="clear" w:color="auto" w:fill="auto"/>
            <w:vAlign w:val="center"/>
            <w:hideMark/>
          </w:tcPr>
          <w:p w14:paraId="6F09D27E"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22.2</w:t>
            </w:r>
          </w:p>
        </w:tc>
        <w:tc>
          <w:tcPr>
            <w:tcW w:w="326" w:type="pct"/>
            <w:shd w:val="clear" w:color="auto" w:fill="auto"/>
            <w:vAlign w:val="center"/>
            <w:hideMark/>
          </w:tcPr>
          <w:p w14:paraId="66DD2A8D"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5.3</w:t>
            </w:r>
          </w:p>
        </w:tc>
        <w:tc>
          <w:tcPr>
            <w:tcW w:w="314" w:type="pct"/>
            <w:shd w:val="clear" w:color="auto" w:fill="auto"/>
            <w:vAlign w:val="center"/>
            <w:hideMark/>
          </w:tcPr>
          <w:p w14:paraId="4DB649F3"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2.6</w:t>
            </w:r>
          </w:p>
        </w:tc>
        <w:tc>
          <w:tcPr>
            <w:tcW w:w="371" w:type="pct"/>
            <w:shd w:val="clear" w:color="auto" w:fill="auto"/>
            <w:vAlign w:val="center"/>
            <w:hideMark/>
          </w:tcPr>
          <w:p w14:paraId="653FCA3D"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&lt;.001</w:t>
            </w:r>
          </w:p>
        </w:tc>
        <w:tc>
          <w:tcPr>
            <w:tcW w:w="326" w:type="pct"/>
            <w:shd w:val="clear" w:color="auto" w:fill="auto"/>
            <w:vAlign w:val="center"/>
            <w:hideMark/>
          </w:tcPr>
          <w:p w14:paraId="5B3E73A1"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40.6</w:t>
            </w:r>
          </w:p>
        </w:tc>
        <w:tc>
          <w:tcPr>
            <w:tcW w:w="315" w:type="pct"/>
            <w:shd w:val="clear" w:color="auto" w:fill="auto"/>
            <w:vAlign w:val="center"/>
            <w:hideMark/>
          </w:tcPr>
          <w:p w14:paraId="05E6CFC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21.3</w:t>
            </w:r>
          </w:p>
        </w:tc>
        <w:tc>
          <w:tcPr>
            <w:tcW w:w="326" w:type="pct"/>
            <w:shd w:val="clear" w:color="auto" w:fill="auto"/>
            <w:vAlign w:val="center"/>
            <w:hideMark/>
          </w:tcPr>
          <w:p w14:paraId="02BE4C3B"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4.9</w:t>
            </w:r>
          </w:p>
        </w:tc>
        <w:tc>
          <w:tcPr>
            <w:tcW w:w="315" w:type="pct"/>
            <w:shd w:val="clear" w:color="auto" w:fill="auto"/>
            <w:vAlign w:val="center"/>
            <w:hideMark/>
          </w:tcPr>
          <w:p w14:paraId="597F30B9" w14:textId="77777777" w:rsidR="004A45CC" w:rsidRPr="009D4072" w:rsidRDefault="004A45CC" w:rsidP="009D407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2.5</w:t>
            </w:r>
          </w:p>
        </w:tc>
        <w:tc>
          <w:tcPr>
            <w:tcW w:w="371" w:type="pct"/>
            <w:shd w:val="clear" w:color="auto" w:fill="auto"/>
            <w:vAlign w:val="center"/>
            <w:hideMark/>
          </w:tcPr>
          <w:p w14:paraId="7F7D1960"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c>
          <w:tcPr>
            <w:tcW w:w="321" w:type="pct"/>
            <w:shd w:val="clear" w:color="auto" w:fill="auto"/>
            <w:vAlign w:val="center"/>
            <w:hideMark/>
          </w:tcPr>
          <w:p w14:paraId="7D43657E"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1.00</w:t>
            </w:r>
          </w:p>
        </w:tc>
        <w:tc>
          <w:tcPr>
            <w:tcW w:w="478" w:type="pct"/>
            <w:shd w:val="clear" w:color="auto" w:fill="auto"/>
            <w:vAlign w:val="center"/>
            <w:hideMark/>
          </w:tcPr>
          <w:p w14:paraId="1D998916" w14:textId="77777777" w:rsidR="004A45CC" w:rsidRPr="009D4072" w:rsidRDefault="004A45CC" w:rsidP="009D407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&lt;.0001</w:t>
            </w:r>
          </w:p>
        </w:tc>
      </w:tr>
      <w:tr w:rsidR="009D4072" w:rsidRPr="009D4072" w14:paraId="288AF4E4" w14:textId="77777777" w:rsidTr="009D4072">
        <w:trPr>
          <w:trHeight w:val="360"/>
        </w:trPr>
        <w:tc>
          <w:tcPr>
            <w:tcW w:w="897" w:type="pct"/>
            <w:shd w:val="clear" w:color="auto" w:fill="auto"/>
            <w:vAlign w:val="center"/>
            <w:hideMark/>
          </w:tcPr>
          <w:p w14:paraId="2325CB78" w14:textId="77777777" w:rsidR="004A45CC" w:rsidRPr="009D4072" w:rsidRDefault="004A45CC" w:rsidP="007D7C82">
            <w:pPr>
              <w:spacing w:line="360" w:lineRule="auto"/>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Change</w:t>
            </w:r>
          </w:p>
        </w:tc>
        <w:tc>
          <w:tcPr>
            <w:tcW w:w="326" w:type="pct"/>
            <w:shd w:val="clear" w:color="auto" w:fill="auto"/>
            <w:vAlign w:val="center"/>
            <w:hideMark/>
          </w:tcPr>
          <w:p w14:paraId="7BFB799B" w14:textId="77777777" w:rsidR="004A45CC" w:rsidRPr="009D4072" w:rsidRDefault="004A45CC" w:rsidP="007D7C8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-20.9</w:t>
            </w:r>
          </w:p>
        </w:tc>
        <w:tc>
          <w:tcPr>
            <w:tcW w:w="313" w:type="pct"/>
            <w:shd w:val="clear" w:color="auto" w:fill="auto"/>
            <w:vAlign w:val="center"/>
            <w:hideMark/>
          </w:tcPr>
          <w:p w14:paraId="7975264B" w14:textId="77777777" w:rsidR="004A45CC" w:rsidRPr="009D4072" w:rsidRDefault="004A45CC" w:rsidP="007D7C8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24.4</w:t>
            </w:r>
          </w:p>
        </w:tc>
        <w:tc>
          <w:tcPr>
            <w:tcW w:w="326" w:type="pct"/>
            <w:shd w:val="clear" w:color="auto" w:fill="auto"/>
            <w:vAlign w:val="center"/>
            <w:hideMark/>
          </w:tcPr>
          <w:p w14:paraId="1E4AF62C" w14:textId="77777777" w:rsidR="004A45CC" w:rsidRPr="009D4072" w:rsidRDefault="004A45CC" w:rsidP="007D7C8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-21.1</w:t>
            </w:r>
          </w:p>
        </w:tc>
        <w:tc>
          <w:tcPr>
            <w:tcW w:w="314" w:type="pct"/>
            <w:shd w:val="clear" w:color="auto" w:fill="auto"/>
            <w:vAlign w:val="center"/>
            <w:hideMark/>
          </w:tcPr>
          <w:p w14:paraId="3CD2B141" w14:textId="77777777" w:rsidR="004A45CC" w:rsidRPr="009D4072" w:rsidRDefault="004A45CC" w:rsidP="007D7C8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16.8</w:t>
            </w:r>
          </w:p>
        </w:tc>
        <w:tc>
          <w:tcPr>
            <w:tcW w:w="371" w:type="pct"/>
            <w:shd w:val="clear" w:color="auto" w:fill="auto"/>
            <w:vAlign w:val="center"/>
            <w:hideMark/>
          </w:tcPr>
          <w:p w14:paraId="79E6D816" w14:textId="77777777" w:rsidR="004A45CC" w:rsidRPr="009D4072" w:rsidRDefault="004A45CC" w:rsidP="007D7C8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w:t>
            </w:r>
          </w:p>
        </w:tc>
        <w:tc>
          <w:tcPr>
            <w:tcW w:w="326" w:type="pct"/>
            <w:shd w:val="clear" w:color="auto" w:fill="auto"/>
            <w:vAlign w:val="center"/>
            <w:hideMark/>
          </w:tcPr>
          <w:p w14:paraId="27FCBD27" w14:textId="77777777" w:rsidR="004A45CC" w:rsidRPr="009D4072" w:rsidRDefault="004A45CC" w:rsidP="007D7C8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-15.7</w:t>
            </w:r>
          </w:p>
        </w:tc>
        <w:tc>
          <w:tcPr>
            <w:tcW w:w="315" w:type="pct"/>
            <w:shd w:val="clear" w:color="auto" w:fill="auto"/>
            <w:vAlign w:val="center"/>
            <w:hideMark/>
          </w:tcPr>
          <w:p w14:paraId="25F15012" w14:textId="77777777" w:rsidR="004A45CC" w:rsidRPr="009D4072" w:rsidRDefault="004A45CC" w:rsidP="007D7C8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19.9</w:t>
            </w:r>
          </w:p>
        </w:tc>
        <w:tc>
          <w:tcPr>
            <w:tcW w:w="326" w:type="pct"/>
            <w:shd w:val="clear" w:color="auto" w:fill="auto"/>
            <w:vAlign w:val="center"/>
            <w:hideMark/>
          </w:tcPr>
          <w:p w14:paraId="35998048" w14:textId="77777777" w:rsidR="004A45CC" w:rsidRPr="009D4072" w:rsidRDefault="004A45CC" w:rsidP="007D7C8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-24.2</w:t>
            </w:r>
          </w:p>
        </w:tc>
        <w:tc>
          <w:tcPr>
            <w:tcW w:w="315" w:type="pct"/>
            <w:shd w:val="clear" w:color="auto" w:fill="auto"/>
            <w:vAlign w:val="center"/>
            <w:hideMark/>
          </w:tcPr>
          <w:p w14:paraId="5CDB1768" w14:textId="77777777" w:rsidR="004A45CC" w:rsidRPr="009D4072" w:rsidRDefault="004A45CC" w:rsidP="007D7C82">
            <w:pPr>
              <w:spacing w:line="360" w:lineRule="auto"/>
              <w:jc w:val="center"/>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20.0</w:t>
            </w:r>
          </w:p>
        </w:tc>
        <w:tc>
          <w:tcPr>
            <w:tcW w:w="371" w:type="pct"/>
            <w:shd w:val="clear" w:color="auto" w:fill="auto"/>
            <w:vAlign w:val="center"/>
            <w:hideMark/>
          </w:tcPr>
          <w:p w14:paraId="5C1DD509" w14:textId="77777777" w:rsidR="004A45CC" w:rsidRPr="009D4072" w:rsidRDefault="004A45CC" w:rsidP="007D7C8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0.21</w:t>
            </w:r>
          </w:p>
        </w:tc>
        <w:tc>
          <w:tcPr>
            <w:tcW w:w="321" w:type="pct"/>
            <w:shd w:val="clear" w:color="auto" w:fill="auto"/>
            <w:vAlign w:val="center"/>
            <w:hideMark/>
          </w:tcPr>
          <w:p w14:paraId="7F829574" w14:textId="77777777" w:rsidR="004A45CC" w:rsidRPr="009D4072" w:rsidRDefault="004A45CC" w:rsidP="007D7C8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0.95</w:t>
            </w:r>
          </w:p>
        </w:tc>
        <w:tc>
          <w:tcPr>
            <w:tcW w:w="478" w:type="pct"/>
            <w:shd w:val="clear" w:color="auto" w:fill="auto"/>
            <w:vAlign w:val="center"/>
            <w:hideMark/>
          </w:tcPr>
          <w:p w14:paraId="4FAC8584" w14:textId="77777777" w:rsidR="004A45CC" w:rsidRPr="009D4072" w:rsidRDefault="004A45CC" w:rsidP="007D7C82">
            <w:pPr>
              <w:spacing w:line="360" w:lineRule="auto"/>
              <w:jc w:val="right"/>
              <w:rPr>
                <w:rFonts w:ascii="Times New Roman" w:eastAsia="Times New Roman" w:hAnsi="Times New Roman" w:cs="Times New Roman"/>
                <w:color w:val="000000"/>
                <w:sz w:val="20"/>
                <w:szCs w:val="20"/>
              </w:rPr>
            </w:pPr>
            <w:r w:rsidRPr="009D4072">
              <w:rPr>
                <w:rFonts w:ascii="Times New Roman" w:eastAsia="Times New Roman" w:hAnsi="Times New Roman" w:cs="Times New Roman"/>
                <w:color w:val="000000"/>
                <w:sz w:val="20"/>
                <w:szCs w:val="20"/>
              </w:rPr>
              <w:t>0.08</w:t>
            </w:r>
          </w:p>
        </w:tc>
      </w:tr>
    </w:tbl>
    <w:p w14:paraId="0500CE96" w14:textId="77777777" w:rsidR="004A45CC" w:rsidRPr="009C6517" w:rsidRDefault="004A45CC" w:rsidP="007D7C82">
      <w:pPr>
        <w:pStyle w:val="ListParagraph"/>
        <w:spacing w:line="360" w:lineRule="auto"/>
        <w:rPr>
          <w:rFonts w:ascii="Times New Roman" w:hAnsi="Times New Roman" w:cs="Times New Roman"/>
          <w:sz w:val="20"/>
          <w:szCs w:val="20"/>
        </w:rPr>
      </w:pPr>
    </w:p>
    <w:p w14:paraId="596825A4" w14:textId="2BA92824" w:rsidR="00C11A5A" w:rsidRPr="00860854" w:rsidRDefault="004A45CC" w:rsidP="007D7C82">
      <w:pPr>
        <w:spacing w:line="360" w:lineRule="auto"/>
        <w:rPr>
          <w:rFonts w:ascii="Times New Roman" w:hAnsi="Times New Roman" w:cs="Times New Roman"/>
          <w:sz w:val="20"/>
          <w:szCs w:val="20"/>
        </w:rPr>
      </w:pPr>
      <w:r w:rsidRPr="009C6517">
        <w:rPr>
          <w:rFonts w:ascii="Times New Roman" w:hAnsi="Times New Roman" w:cs="Times New Roman"/>
          <w:sz w:val="20"/>
          <w:szCs w:val="20"/>
        </w:rPr>
        <w:t xml:space="preserve">Table </w:t>
      </w:r>
      <w:r w:rsidR="007D7C82">
        <w:rPr>
          <w:rFonts w:ascii="Times New Roman" w:hAnsi="Times New Roman" w:cs="Times New Roman"/>
          <w:sz w:val="20"/>
          <w:szCs w:val="20"/>
        </w:rPr>
        <w:t>1</w:t>
      </w:r>
      <w:r w:rsidRPr="009C6517">
        <w:rPr>
          <w:rFonts w:ascii="Times New Roman" w:hAnsi="Times New Roman" w:cs="Times New Roman"/>
          <w:sz w:val="20"/>
          <w:szCs w:val="20"/>
        </w:rPr>
        <w:t xml:space="preserve">: Comparison of demographic and clinical characteristics </w:t>
      </w:r>
      <w:r w:rsidR="00860854" w:rsidRPr="00860854">
        <w:rPr>
          <w:rFonts w:ascii="Times New Roman" w:hAnsi="Times New Roman" w:cs="Times New Roman"/>
          <w:sz w:val="20"/>
          <w:szCs w:val="20"/>
        </w:rPr>
        <w:t>among 4 groups of infants: those with/without intervention and those with/without growth failure</w:t>
      </w:r>
      <w:r w:rsidR="00860854">
        <w:rPr>
          <w:rFonts w:ascii="Times New Roman" w:hAnsi="Times New Roman" w:cs="Times New Roman"/>
          <w:sz w:val="20"/>
          <w:szCs w:val="20"/>
        </w:rPr>
        <w:t>.</w:t>
      </w:r>
    </w:p>
    <w:p w14:paraId="64A19DD2" w14:textId="77777777" w:rsidR="007D7C82" w:rsidRPr="00A63E15" w:rsidRDefault="007D7C82" w:rsidP="007D7C82">
      <w:pPr>
        <w:spacing w:line="360" w:lineRule="auto"/>
        <w:rPr>
          <w:rFonts w:ascii="Times New Roman" w:hAnsi="Times New Roman" w:cs="Times New Roman"/>
          <w:sz w:val="20"/>
          <w:szCs w:val="20"/>
        </w:rPr>
      </w:pPr>
    </w:p>
    <w:p w14:paraId="3D80415F" w14:textId="77777777" w:rsidR="00062B6D" w:rsidRPr="009C6517" w:rsidRDefault="00062B6D" w:rsidP="007D7C82">
      <w:pPr>
        <w:spacing w:line="360" w:lineRule="auto"/>
        <w:ind w:firstLine="720"/>
        <w:rPr>
          <w:rFonts w:ascii="Times New Roman" w:hAnsi="Times New Roman" w:cs="Times New Roman"/>
          <w:sz w:val="20"/>
          <w:szCs w:val="20"/>
        </w:rPr>
      </w:pPr>
      <w:r w:rsidRPr="009C6517">
        <w:rPr>
          <w:rFonts w:ascii="Times New Roman" w:hAnsi="Times New Roman" w:cs="Times New Roman"/>
          <w:noProof/>
          <w:sz w:val="20"/>
          <w:szCs w:val="20"/>
        </w:rPr>
        <w:drawing>
          <wp:inline distT="0" distB="0" distL="0" distR="0" wp14:anchorId="735264F1" wp14:editId="3AF758BA">
            <wp:extent cx="5212603" cy="2595282"/>
            <wp:effectExtent l="0" t="0" r="7620" b="8255"/>
            <wp:docPr id="5" name="Chart 5">
              <a:extLst xmlns:a="http://schemas.openxmlformats.org/drawingml/2006/main">
                <a:ext uri="{FF2B5EF4-FFF2-40B4-BE49-F238E27FC236}">
                  <a16:creationId xmlns:a16="http://schemas.microsoft.com/office/drawing/2014/main" id="{317CBEBA-DBD2-4D2F-97DA-6043E8509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D0D4E2" w14:textId="77777777" w:rsidR="00062B6D" w:rsidRPr="009C6517" w:rsidRDefault="00062B6D" w:rsidP="007D7C82">
      <w:pPr>
        <w:spacing w:line="360" w:lineRule="auto"/>
        <w:rPr>
          <w:rFonts w:ascii="Times New Roman" w:hAnsi="Times New Roman" w:cs="Times New Roman"/>
          <w:sz w:val="20"/>
          <w:szCs w:val="20"/>
        </w:rPr>
      </w:pPr>
    </w:p>
    <w:p w14:paraId="7C58BCDD" w14:textId="0452DC0F" w:rsidR="00062B6D" w:rsidRPr="00507200" w:rsidRDefault="00062B6D" w:rsidP="007D7C82">
      <w:pPr>
        <w:spacing w:line="360" w:lineRule="auto"/>
        <w:rPr>
          <w:rFonts w:ascii="Times New Roman" w:hAnsi="Times New Roman" w:cs="Times New Roman"/>
          <w:sz w:val="20"/>
          <w:szCs w:val="20"/>
        </w:rPr>
      </w:pPr>
      <w:r w:rsidRPr="00747A19">
        <w:rPr>
          <w:rFonts w:ascii="Times New Roman" w:hAnsi="Times New Roman" w:cs="Times New Roman"/>
          <w:sz w:val="20"/>
          <w:szCs w:val="20"/>
        </w:rPr>
        <w:t xml:space="preserve">Figure </w:t>
      </w:r>
      <w:r w:rsidRPr="00A63E15">
        <w:rPr>
          <w:rFonts w:ascii="Times New Roman" w:hAnsi="Times New Roman" w:cs="Times New Roman"/>
          <w:sz w:val="20"/>
          <w:szCs w:val="20"/>
        </w:rPr>
        <w:t>2</w:t>
      </w:r>
      <w:r w:rsidRPr="00507200">
        <w:rPr>
          <w:rFonts w:ascii="Times New Roman" w:hAnsi="Times New Roman" w:cs="Times New Roman"/>
          <w:sz w:val="20"/>
          <w:szCs w:val="20"/>
        </w:rPr>
        <w:t xml:space="preserve">: Potential contributory factors to EUGR in infants before and after implementation of a volume supplementation feeding protocol </w:t>
      </w:r>
    </w:p>
    <w:p w14:paraId="70438DC4" w14:textId="10201EF8" w:rsidR="00062B6D" w:rsidRDefault="00E52267" w:rsidP="00747A19">
      <w:pPr>
        <w:spacing w:line="360" w:lineRule="auto"/>
        <w:rPr>
          <w:rFonts w:ascii="Times New Roman" w:hAnsi="Times New Roman" w:cs="Times New Roman"/>
          <w:sz w:val="20"/>
          <w:szCs w:val="20"/>
        </w:rPr>
      </w:pPr>
      <w:r w:rsidRPr="009C6517">
        <w:rPr>
          <w:rFonts w:ascii="Times New Roman" w:hAnsi="Times New Roman" w:cs="Times New Roman"/>
          <w:noProof/>
          <w:sz w:val="20"/>
          <w:szCs w:val="20"/>
        </w:rPr>
        <w:lastRenderedPageBreak/>
        <w:drawing>
          <wp:inline distT="0" distB="0" distL="0" distR="0" wp14:anchorId="595EA815" wp14:editId="1F63254B">
            <wp:extent cx="3400985" cy="2465714"/>
            <wp:effectExtent l="12700" t="12700" r="1587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918" cy="2477265"/>
                    </a:xfrm>
                    <a:prstGeom prst="rect">
                      <a:avLst/>
                    </a:prstGeom>
                    <a:noFill/>
                    <a:ln>
                      <a:solidFill>
                        <a:schemeClr val="accent1"/>
                      </a:solidFill>
                    </a:ln>
                  </pic:spPr>
                </pic:pic>
              </a:graphicData>
            </a:graphic>
          </wp:inline>
        </w:drawing>
      </w:r>
    </w:p>
    <w:p w14:paraId="3B50CA3E" w14:textId="53D51D8B" w:rsidR="00E52267" w:rsidRDefault="00860854" w:rsidP="00747A19">
      <w:pPr>
        <w:spacing w:line="360" w:lineRule="auto"/>
        <w:rPr>
          <w:rFonts w:ascii="Times New Roman" w:hAnsi="Times New Roman" w:cs="Times New Roman"/>
          <w:sz w:val="20"/>
          <w:szCs w:val="20"/>
        </w:rPr>
      </w:pPr>
      <w:r w:rsidRPr="009C6517">
        <w:rPr>
          <w:rFonts w:ascii="Times New Roman" w:hAnsi="Times New Roman" w:cs="Times New Roman"/>
          <w:sz w:val="20"/>
          <w:szCs w:val="20"/>
        </w:rPr>
        <w:t>Figure 3</w:t>
      </w:r>
      <w:r w:rsidRPr="00747A19">
        <w:rPr>
          <w:rFonts w:ascii="Times New Roman" w:hAnsi="Times New Roman" w:cs="Times New Roman"/>
          <w:sz w:val="20"/>
          <w:szCs w:val="20"/>
        </w:rPr>
        <w:t>: Box-whisker plot of timing of growth failure before and after implementation of a volume supplementation feeding protocol</w:t>
      </w:r>
    </w:p>
    <w:p w14:paraId="31DB38FC" w14:textId="77777777" w:rsidR="00860854" w:rsidRDefault="00860854" w:rsidP="00747A19">
      <w:pPr>
        <w:spacing w:line="360" w:lineRule="auto"/>
        <w:rPr>
          <w:rFonts w:ascii="Times New Roman" w:hAnsi="Times New Roman" w:cs="Times New Roman"/>
          <w:sz w:val="20"/>
          <w:szCs w:val="20"/>
        </w:rPr>
      </w:pPr>
    </w:p>
    <w:p w14:paraId="7E3A7AE2" w14:textId="77777777" w:rsidR="00E52267" w:rsidRPr="00507200" w:rsidRDefault="00E52267" w:rsidP="00860854">
      <w:pPr>
        <w:spacing w:line="360" w:lineRule="auto"/>
        <w:rPr>
          <w:rFonts w:ascii="Times New Roman" w:hAnsi="Times New Roman" w:cs="Times New Roman"/>
          <w:sz w:val="20"/>
          <w:szCs w:val="20"/>
        </w:rPr>
      </w:pPr>
    </w:p>
    <w:p w14:paraId="3863B79C" w14:textId="2D2F17A4" w:rsidR="00062B6D" w:rsidRPr="009C6517" w:rsidRDefault="00062B6D" w:rsidP="00860854">
      <w:pPr>
        <w:spacing w:line="360" w:lineRule="auto"/>
        <w:rPr>
          <w:rFonts w:ascii="Times New Roman" w:hAnsi="Times New Roman" w:cs="Times New Roman"/>
          <w:sz w:val="20"/>
          <w:szCs w:val="20"/>
        </w:rPr>
      </w:pPr>
    </w:p>
    <w:p w14:paraId="6487A6D3" w14:textId="64660073" w:rsidR="00062B6D" w:rsidRPr="00A63E15" w:rsidRDefault="00062B6D" w:rsidP="00860854">
      <w:pPr>
        <w:spacing w:line="360" w:lineRule="auto"/>
        <w:rPr>
          <w:rFonts w:ascii="Times New Roman" w:hAnsi="Times New Roman" w:cs="Times New Roman"/>
          <w:sz w:val="20"/>
          <w:szCs w:val="20"/>
        </w:rPr>
      </w:pPr>
    </w:p>
    <w:tbl>
      <w:tblPr>
        <w:tblpPr w:leftFromText="180" w:rightFromText="180" w:vertAnchor="text" w:horzAnchor="margin" w:tblpY="-1003"/>
        <w:tblW w:w="5760" w:type="dxa"/>
        <w:tblLook w:val="04A0" w:firstRow="1" w:lastRow="0" w:firstColumn="1" w:lastColumn="0" w:noHBand="0" w:noVBand="1"/>
      </w:tblPr>
      <w:tblGrid>
        <w:gridCol w:w="1430"/>
        <w:gridCol w:w="1280"/>
        <w:gridCol w:w="1040"/>
        <w:gridCol w:w="2010"/>
      </w:tblGrid>
      <w:tr w:rsidR="00062B6D" w:rsidRPr="009C6517" w14:paraId="75316832" w14:textId="77777777" w:rsidTr="00062B6D">
        <w:trPr>
          <w:trHeight w:val="360"/>
        </w:trPr>
        <w:tc>
          <w:tcPr>
            <w:tcW w:w="5760" w:type="dxa"/>
            <w:gridSpan w:val="4"/>
            <w:tcBorders>
              <w:top w:val="nil"/>
              <w:left w:val="nil"/>
              <w:bottom w:val="nil"/>
              <w:right w:val="nil"/>
            </w:tcBorders>
            <w:shd w:val="clear" w:color="auto" w:fill="auto"/>
            <w:vAlign w:val="center"/>
            <w:hideMark/>
          </w:tcPr>
          <w:p w14:paraId="69E79AFA" w14:textId="1186424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Table 3. O</w:t>
            </w:r>
            <w:r w:rsidR="00226DFB">
              <w:rPr>
                <w:rFonts w:ascii="Times New Roman" w:eastAsia="Times New Roman" w:hAnsi="Times New Roman" w:cs="Times New Roman"/>
                <w:color w:val="000000"/>
                <w:sz w:val="20"/>
                <w:szCs w:val="20"/>
              </w:rPr>
              <w:t>dds ratio</w:t>
            </w:r>
            <w:r w:rsidRPr="00860854">
              <w:rPr>
                <w:rFonts w:ascii="Times New Roman" w:eastAsia="Times New Roman" w:hAnsi="Times New Roman" w:cs="Times New Roman"/>
                <w:color w:val="000000"/>
                <w:sz w:val="20"/>
                <w:szCs w:val="20"/>
              </w:rPr>
              <w:t xml:space="preserve"> of EUGR based on Logistic Regression (N=336)</w:t>
            </w:r>
          </w:p>
        </w:tc>
      </w:tr>
      <w:tr w:rsidR="00062B6D" w:rsidRPr="009C6517" w14:paraId="2C66E38B" w14:textId="77777777" w:rsidTr="00062B6D">
        <w:trPr>
          <w:trHeight w:val="360"/>
        </w:trPr>
        <w:tc>
          <w:tcPr>
            <w:tcW w:w="1430" w:type="dxa"/>
            <w:tcBorders>
              <w:top w:val="nil"/>
              <w:left w:val="nil"/>
              <w:bottom w:val="single" w:sz="8" w:space="0" w:color="auto"/>
              <w:right w:val="single" w:sz="8" w:space="0" w:color="auto"/>
            </w:tcBorders>
            <w:shd w:val="clear" w:color="auto" w:fill="auto"/>
            <w:vAlign w:val="center"/>
            <w:hideMark/>
          </w:tcPr>
          <w:p w14:paraId="6DDE665B"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Risk factor</w:t>
            </w:r>
          </w:p>
        </w:tc>
        <w:tc>
          <w:tcPr>
            <w:tcW w:w="1280" w:type="dxa"/>
            <w:tcBorders>
              <w:top w:val="nil"/>
              <w:left w:val="nil"/>
              <w:bottom w:val="single" w:sz="8" w:space="0" w:color="auto"/>
              <w:right w:val="single" w:sz="8" w:space="0" w:color="auto"/>
            </w:tcBorders>
            <w:shd w:val="clear" w:color="auto" w:fill="auto"/>
            <w:vAlign w:val="center"/>
            <w:hideMark/>
          </w:tcPr>
          <w:p w14:paraId="08099F6F"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OR</w:t>
            </w:r>
          </w:p>
        </w:tc>
        <w:tc>
          <w:tcPr>
            <w:tcW w:w="3050" w:type="dxa"/>
            <w:gridSpan w:val="2"/>
            <w:tcBorders>
              <w:top w:val="single" w:sz="8" w:space="0" w:color="auto"/>
              <w:left w:val="nil"/>
              <w:bottom w:val="single" w:sz="8" w:space="0" w:color="auto"/>
              <w:right w:val="single" w:sz="8" w:space="0" w:color="000000"/>
            </w:tcBorders>
            <w:shd w:val="clear" w:color="auto" w:fill="auto"/>
            <w:vAlign w:val="center"/>
            <w:hideMark/>
          </w:tcPr>
          <w:p w14:paraId="743607DD"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95% CL</w:t>
            </w:r>
          </w:p>
        </w:tc>
      </w:tr>
      <w:tr w:rsidR="00062B6D" w:rsidRPr="009C6517" w14:paraId="57B07379" w14:textId="77777777" w:rsidTr="00062B6D">
        <w:trPr>
          <w:trHeight w:val="360"/>
        </w:trPr>
        <w:tc>
          <w:tcPr>
            <w:tcW w:w="1430" w:type="dxa"/>
            <w:tcBorders>
              <w:top w:val="nil"/>
              <w:left w:val="nil"/>
              <w:bottom w:val="nil"/>
              <w:right w:val="single" w:sz="8" w:space="0" w:color="auto"/>
            </w:tcBorders>
            <w:shd w:val="clear" w:color="auto" w:fill="auto"/>
            <w:vAlign w:val="center"/>
            <w:hideMark/>
          </w:tcPr>
          <w:p w14:paraId="023411C8" w14:textId="77777777" w:rsidR="00062B6D" w:rsidRPr="00860854" w:rsidRDefault="00062B6D" w:rsidP="00860854">
            <w:pPr>
              <w:spacing w:line="360" w:lineRule="auto"/>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Intervention</w:t>
            </w:r>
          </w:p>
        </w:tc>
        <w:tc>
          <w:tcPr>
            <w:tcW w:w="1280" w:type="dxa"/>
            <w:tcBorders>
              <w:top w:val="nil"/>
              <w:left w:val="nil"/>
              <w:bottom w:val="nil"/>
              <w:right w:val="single" w:sz="8" w:space="0" w:color="auto"/>
            </w:tcBorders>
            <w:shd w:val="clear" w:color="auto" w:fill="auto"/>
            <w:vAlign w:val="center"/>
            <w:hideMark/>
          </w:tcPr>
          <w:p w14:paraId="229AE7AC"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0.47</w:t>
            </w:r>
          </w:p>
        </w:tc>
        <w:tc>
          <w:tcPr>
            <w:tcW w:w="1040" w:type="dxa"/>
            <w:tcBorders>
              <w:top w:val="nil"/>
              <w:left w:val="nil"/>
              <w:bottom w:val="nil"/>
              <w:right w:val="nil"/>
            </w:tcBorders>
            <w:shd w:val="clear" w:color="auto" w:fill="auto"/>
            <w:vAlign w:val="center"/>
            <w:hideMark/>
          </w:tcPr>
          <w:p w14:paraId="2BB665F0"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0.24</w:t>
            </w:r>
          </w:p>
        </w:tc>
        <w:tc>
          <w:tcPr>
            <w:tcW w:w="2010" w:type="dxa"/>
            <w:tcBorders>
              <w:top w:val="nil"/>
              <w:left w:val="nil"/>
              <w:bottom w:val="nil"/>
              <w:right w:val="single" w:sz="8" w:space="0" w:color="auto"/>
            </w:tcBorders>
            <w:shd w:val="clear" w:color="auto" w:fill="auto"/>
            <w:vAlign w:val="center"/>
            <w:hideMark/>
          </w:tcPr>
          <w:p w14:paraId="0F71785D"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0.95</w:t>
            </w:r>
          </w:p>
        </w:tc>
      </w:tr>
      <w:tr w:rsidR="00062B6D" w:rsidRPr="009C6517" w14:paraId="1F0910CD" w14:textId="77777777" w:rsidTr="00062B6D">
        <w:trPr>
          <w:trHeight w:val="360"/>
        </w:trPr>
        <w:tc>
          <w:tcPr>
            <w:tcW w:w="1430" w:type="dxa"/>
            <w:tcBorders>
              <w:top w:val="nil"/>
              <w:left w:val="nil"/>
              <w:bottom w:val="nil"/>
              <w:right w:val="single" w:sz="8" w:space="0" w:color="auto"/>
            </w:tcBorders>
            <w:shd w:val="clear" w:color="auto" w:fill="auto"/>
            <w:vAlign w:val="center"/>
            <w:hideMark/>
          </w:tcPr>
          <w:p w14:paraId="274AD395" w14:textId="77777777" w:rsidR="00062B6D" w:rsidRPr="00860854" w:rsidRDefault="00062B6D" w:rsidP="00860854">
            <w:pPr>
              <w:spacing w:line="360" w:lineRule="auto"/>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Male</w:t>
            </w:r>
          </w:p>
        </w:tc>
        <w:tc>
          <w:tcPr>
            <w:tcW w:w="1280" w:type="dxa"/>
            <w:tcBorders>
              <w:top w:val="nil"/>
              <w:left w:val="nil"/>
              <w:bottom w:val="nil"/>
              <w:right w:val="single" w:sz="8" w:space="0" w:color="auto"/>
            </w:tcBorders>
            <w:shd w:val="clear" w:color="auto" w:fill="auto"/>
            <w:vAlign w:val="center"/>
            <w:hideMark/>
          </w:tcPr>
          <w:p w14:paraId="7CA3C0CF"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1.30</w:t>
            </w:r>
          </w:p>
        </w:tc>
        <w:tc>
          <w:tcPr>
            <w:tcW w:w="1040" w:type="dxa"/>
            <w:tcBorders>
              <w:top w:val="nil"/>
              <w:left w:val="nil"/>
              <w:bottom w:val="nil"/>
              <w:right w:val="nil"/>
            </w:tcBorders>
            <w:shd w:val="clear" w:color="auto" w:fill="auto"/>
            <w:vAlign w:val="center"/>
            <w:hideMark/>
          </w:tcPr>
          <w:p w14:paraId="3128C28E"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0.65</w:t>
            </w:r>
          </w:p>
        </w:tc>
        <w:tc>
          <w:tcPr>
            <w:tcW w:w="2010" w:type="dxa"/>
            <w:tcBorders>
              <w:top w:val="nil"/>
              <w:left w:val="nil"/>
              <w:bottom w:val="nil"/>
              <w:right w:val="single" w:sz="8" w:space="0" w:color="auto"/>
            </w:tcBorders>
            <w:shd w:val="clear" w:color="auto" w:fill="auto"/>
            <w:vAlign w:val="center"/>
            <w:hideMark/>
          </w:tcPr>
          <w:p w14:paraId="03BC9715"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2.58</w:t>
            </w:r>
          </w:p>
        </w:tc>
      </w:tr>
      <w:tr w:rsidR="00062B6D" w:rsidRPr="009C6517" w14:paraId="5852187F" w14:textId="77777777" w:rsidTr="00062B6D">
        <w:trPr>
          <w:trHeight w:val="360"/>
        </w:trPr>
        <w:tc>
          <w:tcPr>
            <w:tcW w:w="1430" w:type="dxa"/>
            <w:tcBorders>
              <w:top w:val="nil"/>
              <w:left w:val="nil"/>
              <w:bottom w:val="nil"/>
              <w:right w:val="single" w:sz="8" w:space="0" w:color="auto"/>
            </w:tcBorders>
            <w:shd w:val="clear" w:color="auto" w:fill="auto"/>
            <w:vAlign w:val="center"/>
            <w:hideMark/>
          </w:tcPr>
          <w:p w14:paraId="39D6410B" w14:textId="77777777" w:rsidR="00062B6D" w:rsidRPr="00860854" w:rsidRDefault="00062B6D" w:rsidP="00860854">
            <w:pPr>
              <w:spacing w:line="360" w:lineRule="auto"/>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GA at birth (weeks)</w:t>
            </w:r>
          </w:p>
        </w:tc>
        <w:tc>
          <w:tcPr>
            <w:tcW w:w="1280" w:type="dxa"/>
            <w:tcBorders>
              <w:top w:val="nil"/>
              <w:left w:val="nil"/>
              <w:bottom w:val="nil"/>
              <w:right w:val="single" w:sz="8" w:space="0" w:color="auto"/>
            </w:tcBorders>
            <w:shd w:val="clear" w:color="auto" w:fill="auto"/>
            <w:vAlign w:val="center"/>
            <w:hideMark/>
          </w:tcPr>
          <w:p w14:paraId="6B8A2227"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0.86</w:t>
            </w:r>
          </w:p>
        </w:tc>
        <w:tc>
          <w:tcPr>
            <w:tcW w:w="1040" w:type="dxa"/>
            <w:tcBorders>
              <w:top w:val="nil"/>
              <w:left w:val="nil"/>
              <w:bottom w:val="nil"/>
              <w:right w:val="nil"/>
            </w:tcBorders>
            <w:shd w:val="clear" w:color="auto" w:fill="auto"/>
            <w:vAlign w:val="center"/>
            <w:hideMark/>
          </w:tcPr>
          <w:p w14:paraId="2D4D263C"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0.74</w:t>
            </w:r>
          </w:p>
        </w:tc>
        <w:tc>
          <w:tcPr>
            <w:tcW w:w="2010" w:type="dxa"/>
            <w:tcBorders>
              <w:top w:val="nil"/>
              <w:left w:val="nil"/>
              <w:bottom w:val="nil"/>
              <w:right w:val="single" w:sz="8" w:space="0" w:color="auto"/>
            </w:tcBorders>
            <w:shd w:val="clear" w:color="auto" w:fill="auto"/>
            <w:vAlign w:val="center"/>
            <w:hideMark/>
          </w:tcPr>
          <w:p w14:paraId="03C08D37"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1.00</w:t>
            </w:r>
          </w:p>
        </w:tc>
      </w:tr>
      <w:tr w:rsidR="00062B6D" w:rsidRPr="009C6517" w14:paraId="2252D5D9" w14:textId="77777777" w:rsidTr="00062B6D">
        <w:trPr>
          <w:trHeight w:val="360"/>
        </w:trPr>
        <w:tc>
          <w:tcPr>
            <w:tcW w:w="1430" w:type="dxa"/>
            <w:tcBorders>
              <w:top w:val="nil"/>
              <w:left w:val="nil"/>
              <w:bottom w:val="single" w:sz="8" w:space="0" w:color="auto"/>
              <w:right w:val="single" w:sz="8" w:space="0" w:color="auto"/>
            </w:tcBorders>
            <w:shd w:val="clear" w:color="auto" w:fill="auto"/>
            <w:vAlign w:val="center"/>
            <w:hideMark/>
          </w:tcPr>
          <w:p w14:paraId="6082ADAE" w14:textId="77777777" w:rsidR="00062B6D" w:rsidRPr="00860854" w:rsidRDefault="00062B6D" w:rsidP="00860854">
            <w:pPr>
              <w:spacing w:line="360" w:lineRule="auto"/>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Birth weight %tile</w:t>
            </w:r>
          </w:p>
        </w:tc>
        <w:tc>
          <w:tcPr>
            <w:tcW w:w="1280" w:type="dxa"/>
            <w:tcBorders>
              <w:top w:val="nil"/>
              <w:left w:val="nil"/>
              <w:bottom w:val="single" w:sz="8" w:space="0" w:color="auto"/>
              <w:right w:val="single" w:sz="8" w:space="0" w:color="auto"/>
            </w:tcBorders>
            <w:shd w:val="clear" w:color="auto" w:fill="auto"/>
            <w:vAlign w:val="center"/>
            <w:hideMark/>
          </w:tcPr>
          <w:p w14:paraId="104DDB7C"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0.93</w:t>
            </w:r>
          </w:p>
        </w:tc>
        <w:tc>
          <w:tcPr>
            <w:tcW w:w="1040" w:type="dxa"/>
            <w:tcBorders>
              <w:top w:val="nil"/>
              <w:left w:val="nil"/>
              <w:bottom w:val="single" w:sz="8" w:space="0" w:color="auto"/>
              <w:right w:val="nil"/>
            </w:tcBorders>
            <w:shd w:val="clear" w:color="auto" w:fill="auto"/>
            <w:vAlign w:val="center"/>
            <w:hideMark/>
          </w:tcPr>
          <w:p w14:paraId="15E9CD69"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0.90</w:t>
            </w:r>
          </w:p>
        </w:tc>
        <w:tc>
          <w:tcPr>
            <w:tcW w:w="2010" w:type="dxa"/>
            <w:tcBorders>
              <w:top w:val="nil"/>
              <w:left w:val="nil"/>
              <w:bottom w:val="single" w:sz="8" w:space="0" w:color="auto"/>
              <w:right w:val="single" w:sz="8" w:space="0" w:color="auto"/>
            </w:tcBorders>
            <w:shd w:val="clear" w:color="auto" w:fill="auto"/>
            <w:vAlign w:val="center"/>
            <w:hideMark/>
          </w:tcPr>
          <w:p w14:paraId="4579F2CF" w14:textId="77777777" w:rsidR="00062B6D" w:rsidRPr="00860854" w:rsidRDefault="00062B6D" w:rsidP="00860854">
            <w:pPr>
              <w:spacing w:line="360" w:lineRule="auto"/>
              <w:jc w:val="center"/>
              <w:rPr>
                <w:rFonts w:ascii="Times New Roman" w:eastAsia="Times New Roman" w:hAnsi="Times New Roman" w:cs="Times New Roman"/>
                <w:color w:val="000000"/>
                <w:sz w:val="20"/>
                <w:szCs w:val="20"/>
              </w:rPr>
            </w:pPr>
            <w:r w:rsidRPr="00860854">
              <w:rPr>
                <w:rFonts w:ascii="Times New Roman" w:eastAsia="Times New Roman" w:hAnsi="Times New Roman" w:cs="Times New Roman"/>
                <w:color w:val="000000"/>
                <w:sz w:val="20"/>
                <w:szCs w:val="20"/>
              </w:rPr>
              <w:t>0.95</w:t>
            </w:r>
          </w:p>
        </w:tc>
      </w:tr>
    </w:tbl>
    <w:p w14:paraId="6F2EFA2E" w14:textId="6DC6198E" w:rsidR="00062B6D" w:rsidRPr="009C6517" w:rsidRDefault="00062B6D" w:rsidP="00226DFB">
      <w:pPr>
        <w:spacing w:line="360" w:lineRule="auto"/>
        <w:rPr>
          <w:rFonts w:ascii="Times New Roman" w:hAnsi="Times New Roman" w:cs="Times New Roman"/>
          <w:sz w:val="20"/>
          <w:szCs w:val="20"/>
        </w:rPr>
      </w:pPr>
    </w:p>
    <w:p w14:paraId="4820A85A" w14:textId="77777777" w:rsidR="00062B6D" w:rsidRPr="009C6517" w:rsidRDefault="00062B6D" w:rsidP="00226DFB">
      <w:pPr>
        <w:spacing w:line="360" w:lineRule="auto"/>
        <w:rPr>
          <w:rFonts w:ascii="Times New Roman" w:hAnsi="Times New Roman" w:cs="Times New Roman"/>
          <w:sz w:val="20"/>
          <w:szCs w:val="20"/>
        </w:rPr>
      </w:pPr>
    </w:p>
    <w:p w14:paraId="437E6035" w14:textId="77777777" w:rsidR="00062B6D" w:rsidRPr="00747A19" w:rsidRDefault="00062B6D" w:rsidP="00226DFB">
      <w:pPr>
        <w:spacing w:line="360" w:lineRule="auto"/>
        <w:rPr>
          <w:rFonts w:ascii="Times New Roman" w:hAnsi="Times New Roman" w:cs="Times New Roman"/>
          <w:sz w:val="20"/>
          <w:szCs w:val="20"/>
        </w:rPr>
      </w:pPr>
    </w:p>
    <w:p w14:paraId="66D56ECF" w14:textId="77777777" w:rsidR="00062B6D" w:rsidRPr="00A63E15" w:rsidRDefault="00062B6D" w:rsidP="00226DFB">
      <w:pPr>
        <w:spacing w:line="360" w:lineRule="auto"/>
        <w:rPr>
          <w:rFonts w:ascii="Times New Roman" w:hAnsi="Times New Roman" w:cs="Times New Roman"/>
          <w:sz w:val="20"/>
          <w:szCs w:val="20"/>
        </w:rPr>
      </w:pPr>
    </w:p>
    <w:p w14:paraId="15BEBCA2" w14:textId="77777777" w:rsidR="00860854" w:rsidRDefault="00860854">
      <w:pPr>
        <w:spacing w:line="360" w:lineRule="auto"/>
        <w:rPr>
          <w:rFonts w:ascii="Times New Roman" w:hAnsi="Times New Roman" w:cs="Times New Roman"/>
          <w:sz w:val="20"/>
          <w:szCs w:val="20"/>
        </w:rPr>
      </w:pPr>
    </w:p>
    <w:p w14:paraId="165F0DAE" w14:textId="77777777" w:rsidR="00906CDD" w:rsidRDefault="00906CDD">
      <w:pPr>
        <w:spacing w:line="360" w:lineRule="auto"/>
        <w:rPr>
          <w:rFonts w:ascii="Times New Roman" w:hAnsi="Times New Roman" w:cs="Times New Roman"/>
          <w:sz w:val="20"/>
          <w:szCs w:val="20"/>
        </w:rPr>
      </w:pPr>
    </w:p>
    <w:p w14:paraId="0527D387" w14:textId="6FF46BB4" w:rsidR="00062B6D" w:rsidRPr="00507200" w:rsidRDefault="00062B6D" w:rsidP="00906CDD">
      <w:pPr>
        <w:spacing w:line="360" w:lineRule="auto"/>
        <w:rPr>
          <w:rFonts w:ascii="Times New Roman" w:hAnsi="Times New Roman" w:cs="Times New Roman"/>
          <w:sz w:val="20"/>
          <w:szCs w:val="20"/>
        </w:rPr>
      </w:pPr>
      <w:r w:rsidRPr="00507200">
        <w:rPr>
          <w:rFonts w:ascii="Times New Roman" w:hAnsi="Times New Roman" w:cs="Times New Roman"/>
          <w:sz w:val="20"/>
          <w:szCs w:val="20"/>
        </w:rPr>
        <w:t xml:space="preserve">Table 3: Odds ratio of EUGR based on simple logistic regression of predetermined risk factors listed in Figure 2. </w:t>
      </w:r>
    </w:p>
    <w:p w14:paraId="63CF52E5" w14:textId="41FB6876" w:rsidR="00062B6D" w:rsidRPr="00507200" w:rsidRDefault="00062B6D" w:rsidP="00906CDD">
      <w:pPr>
        <w:spacing w:line="360" w:lineRule="auto"/>
        <w:rPr>
          <w:rFonts w:ascii="Times New Roman" w:hAnsi="Times New Roman" w:cs="Times New Roman"/>
          <w:sz w:val="20"/>
          <w:szCs w:val="20"/>
        </w:rPr>
      </w:pPr>
    </w:p>
    <w:tbl>
      <w:tblPr>
        <w:tblW w:w="5400" w:type="dxa"/>
        <w:tblLook w:val="04A0" w:firstRow="1" w:lastRow="0" w:firstColumn="1" w:lastColumn="0" w:noHBand="0" w:noVBand="1"/>
      </w:tblPr>
      <w:tblGrid>
        <w:gridCol w:w="1622"/>
        <w:gridCol w:w="916"/>
        <w:gridCol w:w="722"/>
        <w:gridCol w:w="566"/>
        <w:gridCol w:w="1574"/>
      </w:tblGrid>
      <w:tr w:rsidR="00062B6D" w:rsidRPr="009C6517" w14:paraId="02212A7D" w14:textId="77777777" w:rsidTr="00062B6D">
        <w:trPr>
          <w:trHeight w:val="720"/>
        </w:trPr>
        <w:tc>
          <w:tcPr>
            <w:tcW w:w="5400" w:type="dxa"/>
            <w:gridSpan w:val="5"/>
            <w:tcBorders>
              <w:top w:val="nil"/>
              <w:left w:val="nil"/>
              <w:bottom w:val="single" w:sz="8" w:space="0" w:color="auto"/>
              <w:right w:val="nil"/>
            </w:tcBorders>
            <w:shd w:val="clear" w:color="auto" w:fill="auto"/>
            <w:vAlign w:val="center"/>
            <w:hideMark/>
          </w:tcPr>
          <w:p w14:paraId="2C3180A6" w14:textId="471AA2AC"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Table 4. Multivariate Ordinary Least-square Regression Model for Predicting Change in Weight %tile from Birth to Discharge among Infants with EUGR (N=53)</w:t>
            </w:r>
          </w:p>
        </w:tc>
      </w:tr>
      <w:tr w:rsidR="00062B6D" w:rsidRPr="009C6517" w14:paraId="0A1C13D5" w14:textId="77777777" w:rsidTr="00062B6D">
        <w:trPr>
          <w:trHeight w:val="440"/>
        </w:trPr>
        <w:tc>
          <w:tcPr>
            <w:tcW w:w="1650" w:type="dxa"/>
            <w:tcBorders>
              <w:top w:val="nil"/>
              <w:left w:val="nil"/>
              <w:bottom w:val="nil"/>
              <w:right w:val="single" w:sz="8" w:space="0" w:color="auto"/>
            </w:tcBorders>
            <w:shd w:val="clear" w:color="auto" w:fill="auto"/>
            <w:vAlign w:val="center"/>
            <w:hideMark/>
          </w:tcPr>
          <w:p w14:paraId="4D67AA24"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Parameter</w:t>
            </w:r>
          </w:p>
        </w:tc>
        <w:tc>
          <w:tcPr>
            <w:tcW w:w="674" w:type="dxa"/>
            <w:tcBorders>
              <w:top w:val="nil"/>
              <w:left w:val="nil"/>
              <w:bottom w:val="nil"/>
              <w:right w:val="nil"/>
            </w:tcBorders>
            <w:shd w:val="clear" w:color="auto" w:fill="auto"/>
            <w:vAlign w:val="center"/>
            <w:hideMark/>
          </w:tcPr>
          <w:p w14:paraId="1CF711C8"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Estimate</w:t>
            </w:r>
          </w:p>
        </w:tc>
        <w:tc>
          <w:tcPr>
            <w:tcW w:w="759" w:type="dxa"/>
            <w:tcBorders>
              <w:top w:val="nil"/>
              <w:left w:val="nil"/>
              <w:bottom w:val="nil"/>
              <w:right w:val="single" w:sz="8" w:space="0" w:color="auto"/>
            </w:tcBorders>
            <w:shd w:val="clear" w:color="auto" w:fill="auto"/>
            <w:vAlign w:val="center"/>
            <w:hideMark/>
          </w:tcPr>
          <w:p w14:paraId="4D71E2F2"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SE</w:t>
            </w:r>
          </w:p>
        </w:tc>
        <w:tc>
          <w:tcPr>
            <w:tcW w:w="2317" w:type="dxa"/>
            <w:gridSpan w:val="2"/>
            <w:tcBorders>
              <w:top w:val="single" w:sz="8" w:space="0" w:color="auto"/>
              <w:left w:val="nil"/>
              <w:bottom w:val="single" w:sz="8" w:space="0" w:color="auto"/>
              <w:right w:val="single" w:sz="8" w:space="0" w:color="000000"/>
            </w:tcBorders>
            <w:shd w:val="clear" w:color="auto" w:fill="auto"/>
            <w:vAlign w:val="center"/>
            <w:hideMark/>
          </w:tcPr>
          <w:p w14:paraId="251C4E15"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95% CL</w:t>
            </w:r>
          </w:p>
        </w:tc>
      </w:tr>
      <w:tr w:rsidR="00062B6D" w:rsidRPr="009C6517" w14:paraId="04D45329" w14:textId="77777777" w:rsidTr="00062B6D">
        <w:trPr>
          <w:trHeight w:val="440"/>
        </w:trPr>
        <w:tc>
          <w:tcPr>
            <w:tcW w:w="1650" w:type="dxa"/>
            <w:tcBorders>
              <w:top w:val="single" w:sz="8" w:space="0" w:color="auto"/>
              <w:left w:val="nil"/>
              <w:bottom w:val="single" w:sz="8" w:space="0" w:color="auto"/>
              <w:right w:val="single" w:sz="8" w:space="0" w:color="auto"/>
            </w:tcBorders>
            <w:shd w:val="clear" w:color="auto" w:fill="auto"/>
            <w:vAlign w:val="center"/>
            <w:hideMark/>
          </w:tcPr>
          <w:p w14:paraId="723176CB"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Intercept</w:t>
            </w:r>
          </w:p>
        </w:tc>
        <w:tc>
          <w:tcPr>
            <w:tcW w:w="674" w:type="dxa"/>
            <w:tcBorders>
              <w:top w:val="single" w:sz="8" w:space="0" w:color="auto"/>
              <w:left w:val="nil"/>
              <w:bottom w:val="single" w:sz="8" w:space="0" w:color="auto"/>
              <w:right w:val="nil"/>
            </w:tcBorders>
            <w:shd w:val="clear" w:color="auto" w:fill="auto"/>
            <w:vAlign w:val="center"/>
            <w:hideMark/>
          </w:tcPr>
          <w:p w14:paraId="6EA72E39"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3.00</w:t>
            </w:r>
          </w:p>
        </w:tc>
        <w:tc>
          <w:tcPr>
            <w:tcW w:w="759" w:type="dxa"/>
            <w:tcBorders>
              <w:top w:val="single" w:sz="8" w:space="0" w:color="auto"/>
              <w:left w:val="nil"/>
              <w:bottom w:val="single" w:sz="8" w:space="0" w:color="auto"/>
              <w:right w:val="single" w:sz="8" w:space="0" w:color="auto"/>
            </w:tcBorders>
            <w:shd w:val="clear" w:color="auto" w:fill="auto"/>
            <w:vAlign w:val="center"/>
            <w:hideMark/>
          </w:tcPr>
          <w:p w14:paraId="1EA530E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5.22</w:t>
            </w:r>
          </w:p>
        </w:tc>
        <w:tc>
          <w:tcPr>
            <w:tcW w:w="525" w:type="dxa"/>
            <w:tcBorders>
              <w:top w:val="nil"/>
              <w:left w:val="nil"/>
              <w:bottom w:val="single" w:sz="8" w:space="0" w:color="auto"/>
              <w:right w:val="nil"/>
            </w:tcBorders>
            <w:shd w:val="clear" w:color="auto" w:fill="auto"/>
            <w:vAlign w:val="center"/>
            <w:hideMark/>
          </w:tcPr>
          <w:p w14:paraId="4250D81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-7.23</w:t>
            </w:r>
          </w:p>
        </w:tc>
        <w:tc>
          <w:tcPr>
            <w:tcW w:w="1792" w:type="dxa"/>
            <w:tcBorders>
              <w:top w:val="nil"/>
              <w:left w:val="nil"/>
              <w:bottom w:val="single" w:sz="8" w:space="0" w:color="auto"/>
              <w:right w:val="single" w:sz="8" w:space="0" w:color="auto"/>
            </w:tcBorders>
            <w:shd w:val="clear" w:color="auto" w:fill="auto"/>
            <w:vAlign w:val="center"/>
            <w:hideMark/>
          </w:tcPr>
          <w:p w14:paraId="327DE416"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13.24</w:t>
            </w:r>
          </w:p>
        </w:tc>
      </w:tr>
      <w:tr w:rsidR="00062B6D" w:rsidRPr="009C6517" w14:paraId="5B1DCF23" w14:textId="77777777" w:rsidTr="00062B6D">
        <w:trPr>
          <w:trHeight w:val="440"/>
        </w:trPr>
        <w:tc>
          <w:tcPr>
            <w:tcW w:w="1650" w:type="dxa"/>
            <w:tcBorders>
              <w:top w:val="nil"/>
              <w:left w:val="nil"/>
              <w:bottom w:val="nil"/>
              <w:right w:val="single" w:sz="8" w:space="0" w:color="auto"/>
            </w:tcBorders>
            <w:shd w:val="clear" w:color="auto" w:fill="auto"/>
            <w:vAlign w:val="center"/>
            <w:hideMark/>
          </w:tcPr>
          <w:p w14:paraId="6087121A"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intervention</w:t>
            </w:r>
          </w:p>
        </w:tc>
        <w:tc>
          <w:tcPr>
            <w:tcW w:w="674" w:type="dxa"/>
            <w:tcBorders>
              <w:top w:val="nil"/>
              <w:left w:val="nil"/>
              <w:bottom w:val="nil"/>
              <w:right w:val="nil"/>
            </w:tcBorders>
            <w:shd w:val="clear" w:color="auto" w:fill="auto"/>
            <w:vAlign w:val="center"/>
            <w:hideMark/>
          </w:tcPr>
          <w:p w14:paraId="38CE50DA"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-0.27</w:t>
            </w:r>
          </w:p>
        </w:tc>
        <w:tc>
          <w:tcPr>
            <w:tcW w:w="759" w:type="dxa"/>
            <w:tcBorders>
              <w:top w:val="nil"/>
              <w:left w:val="nil"/>
              <w:bottom w:val="nil"/>
              <w:right w:val="single" w:sz="8" w:space="0" w:color="auto"/>
            </w:tcBorders>
            <w:shd w:val="clear" w:color="auto" w:fill="auto"/>
            <w:vAlign w:val="center"/>
            <w:hideMark/>
          </w:tcPr>
          <w:p w14:paraId="5E009A2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0.65</w:t>
            </w:r>
          </w:p>
        </w:tc>
        <w:tc>
          <w:tcPr>
            <w:tcW w:w="525" w:type="dxa"/>
            <w:tcBorders>
              <w:top w:val="nil"/>
              <w:left w:val="nil"/>
              <w:bottom w:val="nil"/>
              <w:right w:val="nil"/>
            </w:tcBorders>
            <w:shd w:val="clear" w:color="auto" w:fill="auto"/>
            <w:vAlign w:val="center"/>
            <w:hideMark/>
          </w:tcPr>
          <w:p w14:paraId="5825C325"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-1.55</w:t>
            </w:r>
          </w:p>
        </w:tc>
        <w:tc>
          <w:tcPr>
            <w:tcW w:w="1792" w:type="dxa"/>
            <w:tcBorders>
              <w:top w:val="nil"/>
              <w:left w:val="nil"/>
              <w:bottom w:val="nil"/>
              <w:right w:val="single" w:sz="8" w:space="0" w:color="auto"/>
            </w:tcBorders>
            <w:shd w:val="clear" w:color="auto" w:fill="auto"/>
            <w:vAlign w:val="center"/>
            <w:hideMark/>
          </w:tcPr>
          <w:p w14:paraId="3BBC5682"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1.01</w:t>
            </w:r>
          </w:p>
        </w:tc>
      </w:tr>
      <w:tr w:rsidR="00062B6D" w:rsidRPr="009C6517" w14:paraId="786C1239" w14:textId="77777777" w:rsidTr="00062B6D">
        <w:trPr>
          <w:trHeight w:val="440"/>
        </w:trPr>
        <w:tc>
          <w:tcPr>
            <w:tcW w:w="1650" w:type="dxa"/>
            <w:tcBorders>
              <w:top w:val="nil"/>
              <w:left w:val="nil"/>
              <w:bottom w:val="nil"/>
              <w:right w:val="single" w:sz="8" w:space="0" w:color="auto"/>
            </w:tcBorders>
            <w:shd w:val="clear" w:color="auto" w:fill="auto"/>
            <w:vAlign w:val="center"/>
            <w:hideMark/>
          </w:tcPr>
          <w:p w14:paraId="21A04FFA"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GA at birth (weeks)</w:t>
            </w:r>
          </w:p>
        </w:tc>
        <w:tc>
          <w:tcPr>
            <w:tcW w:w="674" w:type="dxa"/>
            <w:tcBorders>
              <w:top w:val="nil"/>
              <w:left w:val="nil"/>
              <w:bottom w:val="nil"/>
              <w:right w:val="nil"/>
            </w:tcBorders>
            <w:shd w:val="clear" w:color="auto" w:fill="auto"/>
            <w:vAlign w:val="center"/>
            <w:hideMark/>
          </w:tcPr>
          <w:p w14:paraId="1E28F0A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-0.32</w:t>
            </w:r>
          </w:p>
        </w:tc>
        <w:tc>
          <w:tcPr>
            <w:tcW w:w="759" w:type="dxa"/>
            <w:tcBorders>
              <w:top w:val="nil"/>
              <w:left w:val="nil"/>
              <w:bottom w:val="nil"/>
              <w:right w:val="single" w:sz="8" w:space="0" w:color="auto"/>
            </w:tcBorders>
            <w:shd w:val="clear" w:color="auto" w:fill="auto"/>
            <w:vAlign w:val="center"/>
            <w:hideMark/>
          </w:tcPr>
          <w:p w14:paraId="23A41CEB"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0.16</w:t>
            </w:r>
          </w:p>
        </w:tc>
        <w:tc>
          <w:tcPr>
            <w:tcW w:w="525" w:type="dxa"/>
            <w:tcBorders>
              <w:top w:val="nil"/>
              <w:left w:val="nil"/>
              <w:bottom w:val="nil"/>
              <w:right w:val="nil"/>
            </w:tcBorders>
            <w:shd w:val="clear" w:color="auto" w:fill="auto"/>
            <w:vAlign w:val="center"/>
            <w:hideMark/>
          </w:tcPr>
          <w:p w14:paraId="69F62156"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-0.64</w:t>
            </w:r>
          </w:p>
        </w:tc>
        <w:tc>
          <w:tcPr>
            <w:tcW w:w="1792" w:type="dxa"/>
            <w:tcBorders>
              <w:top w:val="nil"/>
              <w:left w:val="nil"/>
              <w:bottom w:val="nil"/>
              <w:right w:val="single" w:sz="8" w:space="0" w:color="auto"/>
            </w:tcBorders>
            <w:shd w:val="clear" w:color="auto" w:fill="auto"/>
            <w:vAlign w:val="center"/>
            <w:hideMark/>
          </w:tcPr>
          <w:p w14:paraId="2269C266"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0.00</w:t>
            </w:r>
          </w:p>
        </w:tc>
      </w:tr>
      <w:tr w:rsidR="00062B6D" w:rsidRPr="009C6517" w14:paraId="5295949B" w14:textId="77777777" w:rsidTr="00062B6D">
        <w:trPr>
          <w:trHeight w:val="440"/>
        </w:trPr>
        <w:tc>
          <w:tcPr>
            <w:tcW w:w="1650" w:type="dxa"/>
            <w:tcBorders>
              <w:top w:val="nil"/>
              <w:left w:val="nil"/>
              <w:bottom w:val="single" w:sz="8" w:space="0" w:color="auto"/>
              <w:right w:val="single" w:sz="8" w:space="0" w:color="auto"/>
            </w:tcBorders>
            <w:shd w:val="clear" w:color="auto" w:fill="auto"/>
            <w:vAlign w:val="center"/>
            <w:hideMark/>
          </w:tcPr>
          <w:p w14:paraId="65040C84"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lastRenderedPageBreak/>
              <w:t>male</w:t>
            </w:r>
          </w:p>
        </w:tc>
        <w:tc>
          <w:tcPr>
            <w:tcW w:w="674" w:type="dxa"/>
            <w:tcBorders>
              <w:top w:val="nil"/>
              <w:left w:val="nil"/>
              <w:bottom w:val="single" w:sz="8" w:space="0" w:color="auto"/>
              <w:right w:val="nil"/>
            </w:tcBorders>
            <w:shd w:val="clear" w:color="auto" w:fill="auto"/>
            <w:vAlign w:val="center"/>
            <w:hideMark/>
          </w:tcPr>
          <w:p w14:paraId="67610EE0"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0.58</w:t>
            </w:r>
          </w:p>
        </w:tc>
        <w:tc>
          <w:tcPr>
            <w:tcW w:w="759" w:type="dxa"/>
            <w:tcBorders>
              <w:top w:val="nil"/>
              <w:left w:val="nil"/>
              <w:bottom w:val="single" w:sz="8" w:space="0" w:color="auto"/>
              <w:right w:val="single" w:sz="8" w:space="0" w:color="auto"/>
            </w:tcBorders>
            <w:shd w:val="clear" w:color="auto" w:fill="auto"/>
            <w:vAlign w:val="center"/>
            <w:hideMark/>
          </w:tcPr>
          <w:p w14:paraId="118488EF"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0.61</w:t>
            </w:r>
          </w:p>
        </w:tc>
        <w:tc>
          <w:tcPr>
            <w:tcW w:w="525" w:type="dxa"/>
            <w:tcBorders>
              <w:top w:val="nil"/>
              <w:left w:val="nil"/>
              <w:bottom w:val="single" w:sz="8" w:space="0" w:color="auto"/>
              <w:right w:val="nil"/>
            </w:tcBorders>
            <w:shd w:val="clear" w:color="auto" w:fill="auto"/>
            <w:vAlign w:val="center"/>
            <w:hideMark/>
          </w:tcPr>
          <w:p w14:paraId="2485FF55"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-0.60</w:t>
            </w:r>
          </w:p>
        </w:tc>
        <w:tc>
          <w:tcPr>
            <w:tcW w:w="1792" w:type="dxa"/>
            <w:tcBorders>
              <w:top w:val="nil"/>
              <w:left w:val="nil"/>
              <w:bottom w:val="single" w:sz="8" w:space="0" w:color="auto"/>
              <w:right w:val="single" w:sz="8" w:space="0" w:color="auto"/>
            </w:tcBorders>
            <w:shd w:val="clear" w:color="auto" w:fill="auto"/>
            <w:vAlign w:val="center"/>
            <w:hideMark/>
          </w:tcPr>
          <w:p w14:paraId="43A136CC"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1.77</w:t>
            </w:r>
          </w:p>
        </w:tc>
      </w:tr>
      <w:tr w:rsidR="00062B6D" w:rsidRPr="009C6517" w14:paraId="34889CFB" w14:textId="77777777" w:rsidTr="00062B6D">
        <w:trPr>
          <w:trHeight w:val="440"/>
        </w:trPr>
        <w:tc>
          <w:tcPr>
            <w:tcW w:w="1650" w:type="dxa"/>
            <w:tcBorders>
              <w:top w:val="nil"/>
              <w:left w:val="nil"/>
              <w:bottom w:val="nil"/>
              <w:right w:val="single" w:sz="8" w:space="0" w:color="auto"/>
            </w:tcBorders>
            <w:shd w:val="clear" w:color="auto" w:fill="auto"/>
            <w:vAlign w:val="center"/>
            <w:hideMark/>
          </w:tcPr>
          <w:p w14:paraId="4F72E449"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Birth weight %tile</w:t>
            </w:r>
          </w:p>
        </w:tc>
        <w:tc>
          <w:tcPr>
            <w:tcW w:w="674" w:type="dxa"/>
            <w:tcBorders>
              <w:top w:val="nil"/>
              <w:left w:val="nil"/>
              <w:bottom w:val="nil"/>
              <w:right w:val="nil"/>
            </w:tcBorders>
            <w:shd w:val="clear" w:color="auto" w:fill="auto"/>
            <w:vAlign w:val="center"/>
            <w:hideMark/>
          </w:tcPr>
          <w:p w14:paraId="05ACA688"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0.97</w:t>
            </w:r>
          </w:p>
        </w:tc>
        <w:tc>
          <w:tcPr>
            <w:tcW w:w="759" w:type="dxa"/>
            <w:tcBorders>
              <w:top w:val="nil"/>
              <w:left w:val="nil"/>
              <w:bottom w:val="nil"/>
              <w:right w:val="single" w:sz="8" w:space="0" w:color="auto"/>
            </w:tcBorders>
            <w:shd w:val="clear" w:color="auto" w:fill="auto"/>
            <w:vAlign w:val="center"/>
            <w:hideMark/>
          </w:tcPr>
          <w:p w14:paraId="4B7D52FF"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0.02</w:t>
            </w:r>
          </w:p>
        </w:tc>
        <w:tc>
          <w:tcPr>
            <w:tcW w:w="525" w:type="dxa"/>
            <w:tcBorders>
              <w:top w:val="nil"/>
              <w:left w:val="nil"/>
              <w:bottom w:val="nil"/>
              <w:right w:val="nil"/>
            </w:tcBorders>
            <w:shd w:val="clear" w:color="auto" w:fill="auto"/>
            <w:vAlign w:val="center"/>
            <w:hideMark/>
          </w:tcPr>
          <w:p w14:paraId="21E5E53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0.92</w:t>
            </w:r>
          </w:p>
        </w:tc>
        <w:tc>
          <w:tcPr>
            <w:tcW w:w="1792" w:type="dxa"/>
            <w:tcBorders>
              <w:top w:val="nil"/>
              <w:left w:val="nil"/>
              <w:bottom w:val="nil"/>
              <w:right w:val="single" w:sz="8" w:space="0" w:color="auto"/>
            </w:tcBorders>
            <w:shd w:val="clear" w:color="auto" w:fill="auto"/>
            <w:vAlign w:val="center"/>
            <w:hideMark/>
          </w:tcPr>
          <w:p w14:paraId="0B96598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1.01</w:t>
            </w:r>
          </w:p>
        </w:tc>
      </w:tr>
      <w:tr w:rsidR="00062B6D" w:rsidRPr="009C6517" w14:paraId="50579466" w14:textId="77777777" w:rsidTr="00062B6D">
        <w:trPr>
          <w:trHeight w:val="440"/>
        </w:trPr>
        <w:tc>
          <w:tcPr>
            <w:tcW w:w="1650" w:type="dxa"/>
            <w:tcBorders>
              <w:top w:val="nil"/>
              <w:left w:val="nil"/>
              <w:bottom w:val="nil"/>
              <w:right w:val="single" w:sz="8" w:space="0" w:color="auto"/>
            </w:tcBorders>
            <w:shd w:val="clear" w:color="auto" w:fill="auto"/>
            <w:vAlign w:val="center"/>
            <w:hideMark/>
          </w:tcPr>
          <w:p w14:paraId="77FB1010"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NEC</w:t>
            </w:r>
          </w:p>
        </w:tc>
        <w:tc>
          <w:tcPr>
            <w:tcW w:w="674" w:type="dxa"/>
            <w:tcBorders>
              <w:top w:val="nil"/>
              <w:left w:val="nil"/>
              <w:bottom w:val="nil"/>
              <w:right w:val="nil"/>
            </w:tcBorders>
            <w:shd w:val="clear" w:color="auto" w:fill="auto"/>
            <w:vAlign w:val="center"/>
            <w:hideMark/>
          </w:tcPr>
          <w:p w14:paraId="75A42F9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2.98</w:t>
            </w:r>
          </w:p>
        </w:tc>
        <w:tc>
          <w:tcPr>
            <w:tcW w:w="759" w:type="dxa"/>
            <w:tcBorders>
              <w:top w:val="nil"/>
              <w:left w:val="nil"/>
              <w:bottom w:val="nil"/>
              <w:right w:val="single" w:sz="8" w:space="0" w:color="auto"/>
            </w:tcBorders>
            <w:shd w:val="clear" w:color="auto" w:fill="auto"/>
            <w:vAlign w:val="center"/>
            <w:hideMark/>
          </w:tcPr>
          <w:p w14:paraId="36C1D453"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0.90</w:t>
            </w:r>
          </w:p>
        </w:tc>
        <w:tc>
          <w:tcPr>
            <w:tcW w:w="525" w:type="dxa"/>
            <w:tcBorders>
              <w:top w:val="nil"/>
              <w:left w:val="nil"/>
              <w:bottom w:val="nil"/>
              <w:right w:val="nil"/>
            </w:tcBorders>
            <w:shd w:val="clear" w:color="auto" w:fill="auto"/>
            <w:vAlign w:val="center"/>
            <w:hideMark/>
          </w:tcPr>
          <w:p w14:paraId="44FB375D"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1.21</w:t>
            </w:r>
          </w:p>
        </w:tc>
        <w:tc>
          <w:tcPr>
            <w:tcW w:w="1792" w:type="dxa"/>
            <w:tcBorders>
              <w:top w:val="nil"/>
              <w:left w:val="nil"/>
              <w:bottom w:val="nil"/>
              <w:right w:val="single" w:sz="8" w:space="0" w:color="auto"/>
            </w:tcBorders>
            <w:shd w:val="clear" w:color="auto" w:fill="auto"/>
            <w:vAlign w:val="center"/>
            <w:hideMark/>
          </w:tcPr>
          <w:p w14:paraId="7487C200"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4.76</w:t>
            </w:r>
          </w:p>
        </w:tc>
      </w:tr>
      <w:tr w:rsidR="00062B6D" w:rsidRPr="009C6517" w14:paraId="200B0F16" w14:textId="77777777" w:rsidTr="00062B6D">
        <w:trPr>
          <w:trHeight w:val="440"/>
        </w:trPr>
        <w:tc>
          <w:tcPr>
            <w:tcW w:w="1650" w:type="dxa"/>
            <w:tcBorders>
              <w:top w:val="nil"/>
              <w:left w:val="nil"/>
              <w:bottom w:val="single" w:sz="8" w:space="0" w:color="auto"/>
              <w:right w:val="single" w:sz="8" w:space="0" w:color="auto"/>
            </w:tcBorders>
            <w:shd w:val="clear" w:color="auto" w:fill="auto"/>
            <w:vAlign w:val="center"/>
            <w:hideMark/>
          </w:tcPr>
          <w:p w14:paraId="4AE4FB80"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Delayed return to birthweight</w:t>
            </w:r>
          </w:p>
        </w:tc>
        <w:tc>
          <w:tcPr>
            <w:tcW w:w="674" w:type="dxa"/>
            <w:tcBorders>
              <w:top w:val="nil"/>
              <w:left w:val="nil"/>
              <w:bottom w:val="single" w:sz="8" w:space="0" w:color="auto"/>
              <w:right w:val="nil"/>
            </w:tcBorders>
            <w:shd w:val="clear" w:color="auto" w:fill="auto"/>
            <w:vAlign w:val="center"/>
            <w:hideMark/>
          </w:tcPr>
          <w:p w14:paraId="4D912D4C"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1.52</w:t>
            </w:r>
          </w:p>
        </w:tc>
        <w:tc>
          <w:tcPr>
            <w:tcW w:w="759" w:type="dxa"/>
            <w:tcBorders>
              <w:top w:val="nil"/>
              <w:left w:val="nil"/>
              <w:bottom w:val="single" w:sz="8" w:space="0" w:color="auto"/>
              <w:right w:val="single" w:sz="8" w:space="0" w:color="auto"/>
            </w:tcBorders>
            <w:shd w:val="clear" w:color="auto" w:fill="auto"/>
            <w:vAlign w:val="center"/>
            <w:hideMark/>
          </w:tcPr>
          <w:p w14:paraId="5583A79B"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1.01</w:t>
            </w:r>
          </w:p>
        </w:tc>
        <w:tc>
          <w:tcPr>
            <w:tcW w:w="525" w:type="dxa"/>
            <w:tcBorders>
              <w:top w:val="nil"/>
              <w:left w:val="nil"/>
              <w:bottom w:val="single" w:sz="8" w:space="0" w:color="auto"/>
              <w:right w:val="nil"/>
            </w:tcBorders>
            <w:shd w:val="clear" w:color="auto" w:fill="auto"/>
            <w:vAlign w:val="center"/>
            <w:hideMark/>
          </w:tcPr>
          <w:p w14:paraId="36C1CDD6"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-0.46</w:t>
            </w:r>
          </w:p>
        </w:tc>
        <w:tc>
          <w:tcPr>
            <w:tcW w:w="1792" w:type="dxa"/>
            <w:tcBorders>
              <w:top w:val="nil"/>
              <w:left w:val="nil"/>
              <w:bottom w:val="single" w:sz="8" w:space="0" w:color="auto"/>
              <w:right w:val="single" w:sz="8" w:space="0" w:color="auto"/>
            </w:tcBorders>
            <w:shd w:val="clear" w:color="auto" w:fill="auto"/>
            <w:vAlign w:val="center"/>
            <w:hideMark/>
          </w:tcPr>
          <w:p w14:paraId="44024D2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3.49</w:t>
            </w:r>
          </w:p>
        </w:tc>
      </w:tr>
      <w:tr w:rsidR="00062B6D" w:rsidRPr="009C6517" w14:paraId="666BE8A0" w14:textId="77777777" w:rsidTr="00062B6D">
        <w:trPr>
          <w:trHeight w:val="440"/>
        </w:trPr>
        <w:tc>
          <w:tcPr>
            <w:tcW w:w="1650" w:type="dxa"/>
            <w:tcBorders>
              <w:top w:val="nil"/>
              <w:left w:val="nil"/>
              <w:bottom w:val="nil"/>
              <w:right w:val="single" w:sz="8" w:space="0" w:color="auto"/>
            </w:tcBorders>
            <w:shd w:val="clear" w:color="auto" w:fill="auto"/>
            <w:vAlign w:val="center"/>
            <w:hideMark/>
          </w:tcPr>
          <w:p w14:paraId="634E8B0B"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Hyponatremia</w:t>
            </w:r>
          </w:p>
        </w:tc>
        <w:tc>
          <w:tcPr>
            <w:tcW w:w="674" w:type="dxa"/>
            <w:tcBorders>
              <w:top w:val="nil"/>
              <w:left w:val="nil"/>
              <w:bottom w:val="nil"/>
              <w:right w:val="nil"/>
            </w:tcBorders>
            <w:shd w:val="clear" w:color="auto" w:fill="auto"/>
            <w:vAlign w:val="center"/>
            <w:hideMark/>
          </w:tcPr>
          <w:p w14:paraId="57390CD8"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0.99</w:t>
            </w:r>
          </w:p>
        </w:tc>
        <w:tc>
          <w:tcPr>
            <w:tcW w:w="759" w:type="dxa"/>
            <w:tcBorders>
              <w:top w:val="nil"/>
              <w:left w:val="nil"/>
              <w:bottom w:val="nil"/>
              <w:right w:val="single" w:sz="8" w:space="0" w:color="auto"/>
            </w:tcBorders>
            <w:shd w:val="clear" w:color="auto" w:fill="auto"/>
            <w:vAlign w:val="center"/>
            <w:hideMark/>
          </w:tcPr>
          <w:p w14:paraId="42AEB13B"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0.79</w:t>
            </w:r>
          </w:p>
        </w:tc>
        <w:tc>
          <w:tcPr>
            <w:tcW w:w="525" w:type="dxa"/>
            <w:tcBorders>
              <w:top w:val="nil"/>
              <w:left w:val="nil"/>
              <w:bottom w:val="nil"/>
              <w:right w:val="nil"/>
            </w:tcBorders>
            <w:shd w:val="clear" w:color="auto" w:fill="auto"/>
            <w:vAlign w:val="center"/>
            <w:hideMark/>
          </w:tcPr>
          <w:p w14:paraId="42D1FA74"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-0.55</w:t>
            </w:r>
          </w:p>
        </w:tc>
        <w:tc>
          <w:tcPr>
            <w:tcW w:w="1792" w:type="dxa"/>
            <w:tcBorders>
              <w:top w:val="nil"/>
              <w:left w:val="nil"/>
              <w:bottom w:val="nil"/>
              <w:right w:val="single" w:sz="8" w:space="0" w:color="auto"/>
            </w:tcBorders>
            <w:shd w:val="clear" w:color="auto" w:fill="auto"/>
            <w:vAlign w:val="center"/>
            <w:hideMark/>
          </w:tcPr>
          <w:p w14:paraId="0C81FBB3"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2.53</w:t>
            </w:r>
          </w:p>
        </w:tc>
      </w:tr>
      <w:tr w:rsidR="00062B6D" w:rsidRPr="009C6517" w14:paraId="488B0C63" w14:textId="77777777" w:rsidTr="00062B6D">
        <w:trPr>
          <w:trHeight w:val="440"/>
        </w:trPr>
        <w:tc>
          <w:tcPr>
            <w:tcW w:w="1650" w:type="dxa"/>
            <w:tcBorders>
              <w:top w:val="nil"/>
              <w:left w:val="nil"/>
              <w:bottom w:val="nil"/>
              <w:right w:val="single" w:sz="8" w:space="0" w:color="auto"/>
            </w:tcBorders>
            <w:shd w:val="clear" w:color="auto" w:fill="auto"/>
            <w:vAlign w:val="center"/>
            <w:hideMark/>
          </w:tcPr>
          <w:p w14:paraId="54C8281A"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Inadequate Intake</w:t>
            </w:r>
          </w:p>
        </w:tc>
        <w:tc>
          <w:tcPr>
            <w:tcW w:w="674" w:type="dxa"/>
            <w:tcBorders>
              <w:top w:val="nil"/>
              <w:left w:val="nil"/>
              <w:bottom w:val="nil"/>
              <w:right w:val="nil"/>
            </w:tcBorders>
            <w:shd w:val="clear" w:color="auto" w:fill="auto"/>
            <w:vAlign w:val="center"/>
            <w:hideMark/>
          </w:tcPr>
          <w:p w14:paraId="1DB74F74"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0.43</w:t>
            </w:r>
          </w:p>
        </w:tc>
        <w:tc>
          <w:tcPr>
            <w:tcW w:w="759" w:type="dxa"/>
            <w:tcBorders>
              <w:top w:val="nil"/>
              <w:left w:val="nil"/>
              <w:bottom w:val="nil"/>
              <w:right w:val="single" w:sz="8" w:space="0" w:color="auto"/>
            </w:tcBorders>
            <w:shd w:val="clear" w:color="auto" w:fill="auto"/>
            <w:vAlign w:val="center"/>
            <w:hideMark/>
          </w:tcPr>
          <w:p w14:paraId="1C6FDF19"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1.18</w:t>
            </w:r>
          </w:p>
        </w:tc>
        <w:tc>
          <w:tcPr>
            <w:tcW w:w="525" w:type="dxa"/>
            <w:tcBorders>
              <w:top w:val="nil"/>
              <w:left w:val="nil"/>
              <w:bottom w:val="nil"/>
              <w:right w:val="nil"/>
            </w:tcBorders>
            <w:shd w:val="clear" w:color="auto" w:fill="auto"/>
            <w:vAlign w:val="center"/>
            <w:hideMark/>
          </w:tcPr>
          <w:p w14:paraId="0ACE8047"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-1.88</w:t>
            </w:r>
          </w:p>
        </w:tc>
        <w:tc>
          <w:tcPr>
            <w:tcW w:w="1792" w:type="dxa"/>
            <w:tcBorders>
              <w:top w:val="nil"/>
              <w:left w:val="nil"/>
              <w:bottom w:val="nil"/>
              <w:right w:val="single" w:sz="8" w:space="0" w:color="auto"/>
            </w:tcBorders>
            <w:shd w:val="clear" w:color="auto" w:fill="auto"/>
            <w:vAlign w:val="center"/>
            <w:hideMark/>
          </w:tcPr>
          <w:p w14:paraId="2F1BCE21"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2.74</w:t>
            </w:r>
          </w:p>
        </w:tc>
      </w:tr>
      <w:tr w:rsidR="00062B6D" w:rsidRPr="009C6517" w14:paraId="307EF75E" w14:textId="77777777" w:rsidTr="00062B6D">
        <w:trPr>
          <w:trHeight w:val="440"/>
        </w:trPr>
        <w:tc>
          <w:tcPr>
            <w:tcW w:w="1650" w:type="dxa"/>
            <w:tcBorders>
              <w:top w:val="nil"/>
              <w:left w:val="nil"/>
              <w:bottom w:val="single" w:sz="8" w:space="0" w:color="auto"/>
              <w:right w:val="single" w:sz="8" w:space="0" w:color="auto"/>
            </w:tcBorders>
            <w:shd w:val="clear" w:color="auto" w:fill="auto"/>
            <w:vAlign w:val="center"/>
            <w:hideMark/>
          </w:tcPr>
          <w:p w14:paraId="19671F37"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Constitutionally small</w:t>
            </w:r>
          </w:p>
        </w:tc>
        <w:tc>
          <w:tcPr>
            <w:tcW w:w="674" w:type="dxa"/>
            <w:tcBorders>
              <w:top w:val="nil"/>
              <w:left w:val="nil"/>
              <w:bottom w:val="single" w:sz="8" w:space="0" w:color="auto"/>
              <w:right w:val="nil"/>
            </w:tcBorders>
            <w:shd w:val="clear" w:color="auto" w:fill="auto"/>
            <w:vAlign w:val="center"/>
            <w:hideMark/>
          </w:tcPr>
          <w:p w14:paraId="24252E04"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2.74</w:t>
            </w:r>
          </w:p>
        </w:tc>
        <w:tc>
          <w:tcPr>
            <w:tcW w:w="759" w:type="dxa"/>
            <w:tcBorders>
              <w:top w:val="nil"/>
              <w:left w:val="nil"/>
              <w:bottom w:val="single" w:sz="8" w:space="0" w:color="auto"/>
              <w:right w:val="single" w:sz="8" w:space="0" w:color="auto"/>
            </w:tcBorders>
            <w:shd w:val="clear" w:color="auto" w:fill="auto"/>
            <w:vAlign w:val="center"/>
            <w:hideMark/>
          </w:tcPr>
          <w:p w14:paraId="4163094C"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0.98</w:t>
            </w:r>
          </w:p>
        </w:tc>
        <w:tc>
          <w:tcPr>
            <w:tcW w:w="525" w:type="dxa"/>
            <w:tcBorders>
              <w:top w:val="nil"/>
              <w:left w:val="nil"/>
              <w:bottom w:val="single" w:sz="8" w:space="0" w:color="auto"/>
              <w:right w:val="nil"/>
            </w:tcBorders>
            <w:shd w:val="clear" w:color="auto" w:fill="auto"/>
            <w:vAlign w:val="center"/>
            <w:hideMark/>
          </w:tcPr>
          <w:p w14:paraId="0F688B25"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0.82</w:t>
            </w:r>
          </w:p>
        </w:tc>
        <w:tc>
          <w:tcPr>
            <w:tcW w:w="1792" w:type="dxa"/>
            <w:tcBorders>
              <w:top w:val="nil"/>
              <w:left w:val="nil"/>
              <w:bottom w:val="single" w:sz="8" w:space="0" w:color="auto"/>
              <w:right w:val="single" w:sz="8" w:space="0" w:color="auto"/>
            </w:tcBorders>
            <w:shd w:val="clear" w:color="auto" w:fill="auto"/>
            <w:vAlign w:val="center"/>
            <w:hideMark/>
          </w:tcPr>
          <w:p w14:paraId="38AEB873"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4.65</w:t>
            </w:r>
          </w:p>
        </w:tc>
      </w:tr>
      <w:tr w:rsidR="00062B6D" w:rsidRPr="009C6517" w14:paraId="4EE049B7" w14:textId="77777777" w:rsidTr="00062B6D">
        <w:trPr>
          <w:trHeight w:val="440"/>
        </w:trPr>
        <w:tc>
          <w:tcPr>
            <w:tcW w:w="1650" w:type="dxa"/>
            <w:tcBorders>
              <w:top w:val="nil"/>
              <w:left w:val="nil"/>
              <w:bottom w:val="nil"/>
              <w:right w:val="single" w:sz="8" w:space="0" w:color="auto"/>
            </w:tcBorders>
            <w:shd w:val="clear" w:color="auto" w:fill="auto"/>
            <w:vAlign w:val="center"/>
            <w:hideMark/>
          </w:tcPr>
          <w:p w14:paraId="11E4AA64"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Aerodigestive Issues</w:t>
            </w:r>
          </w:p>
        </w:tc>
        <w:tc>
          <w:tcPr>
            <w:tcW w:w="674" w:type="dxa"/>
            <w:tcBorders>
              <w:top w:val="nil"/>
              <w:left w:val="nil"/>
              <w:bottom w:val="nil"/>
              <w:right w:val="nil"/>
            </w:tcBorders>
            <w:shd w:val="clear" w:color="auto" w:fill="auto"/>
            <w:vAlign w:val="center"/>
            <w:hideMark/>
          </w:tcPr>
          <w:p w14:paraId="0C697E9F"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-0.27</w:t>
            </w:r>
          </w:p>
        </w:tc>
        <w:tc>
          <w:tcPr>
            <w:tcW w:w="759" w:type="dxa"/>
            <w:tcBorders>
              <w:top w:val="nil"/>
              <w:left w:val="nil"/>
              <w:bottom w:val="nil"/>
              <w:right w:val="single" w:sz="8" w:space="0" w:color="auto"/>
            </w:tcBorders>
            <w:shd w:val="clear" w:color="auto" w:fill="auto"/>
            <w:vAlign w:val="center"/>
            <w:hideMark/>
          </w:tcPr>
          <w:p w14:paraId="462B4765"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0.77</w:t>
            </w:r>
          </w:p>
        </w:tc>
        <w:tc>
          <w:tcPr>
            <w:tcW w:w="525" w:type="dxa"/>
            <w:tcBorders>
              <w:top w:val="nil"/>
              <w:left w:val="nil"/>
              <w:bottom w:val="nil"/>
              <w:right w:val="nil"/>
            </w:tcBorders>
            <w:shd w:val="clear" w:color="auto" w:fill="auto"/>
            <w:vAlign w:val="center"/>
            <w:hideMark/>
          </w:tcPr>
          <w:p w14:paraId="055EB8EC"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-1.79</w:t>
            </w:r>
          </w:p>
        </w:tc>
        <w:tc>
          <w:tcPr>
            <w:tcW w:w="1792" w:type="dxa"/>
            <w:tcBorders>
              <w:top w:val="nil"/>
              <w:left w:val="nil"/>
              <w:bottom w:val="nil"/>
              <w:right w:val="single" w:sz="8" w:space="0" w:color="auto"/>
            </w:tcBorders>
            <w:shd w:val="clear" w:color="auto" w:fill="auto"/>
            <w:vAlign w:val="center"/>
            <w:hideMark/>
          </w:tcPr>
          <w:p w14:paraId="1DE8F74D"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1.25</w:t>
            </w:r>
          </w:p>
        </w:tc>
      </w:tr>
      <w:tr w:rsidR="00062B6D" w:rsidRPr="009C6517" w14:paraId="516B77B7" w14:textId="77777777" w:rsidTr="00062B6D">
        <w:trPr>
          <w:trHeight w:val="440"/>
        </w:trPr>
        <w:tc>
          <w:tcPr>
            <w:tcW w:w="1650" w:type="dxa"/>
            <w:tcBorders>
              <w:top w:val="nil"/>
              <w:left w:val="nil"/>
              <w:bottom w:val="single" w:sz="8" w:space="0" w:color="auto"/>
              <w:right w:val="single" w:sz="8" w:space="0" w:color="auto"/>
            </w:tcBorders>
            <w:shd w:val="clear" w:color="auto" w:fill="auto"/>
            <w:vAlign w:val="center"/>
            <w:hideMark/>
          </w:tcPr>
          <w:p w14:paraId="0D78DFC7"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Other issues</w:t>
            </w:r>
          </w:p>
        </w:tc>
        <w:tc>
          <w:tcPr>
            <w:tcW w:w="674" w:type="dxa"/>
            <w:tcBorders>
              <w:top w:val="nil"/>
              <w:left w:val="nil"/>
              <w:bottom w:val="nil"/>
              <w:right w:val="nil"/>
            </w:tcBorders>
            <w:shd w:val="clear" w:color="auto" w:fill="auto"/>
            <w:vAlign w:val="center"/>
            <w:hideMark/>
          </w:tcPr>
          <w:p w14:paraId="712D9727"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1.17</w:t>
            </w:r>
          </w:p>
        </w:tc>
        <w:tc>
          <w:tcPr>
            <w:tcW w:w="759" w:type="dxa"/>
            <w:tcBorders>
              <w:top w:val="nil"/>
              <w:left w:val="nil"/>
              <w:bottom w:val="single" w:sz="8" w:space="0" w:color="auto"/>
              <w:right w:val="single" w:sz="8" w:space="0" w:color="auto"/>
            </w:tcBorders>
            <w:shd w:val="clear" w:color="auto" w:fill="auto"/>
            <w:vAlign w:val="center"/>
            <w:hideMark/>
          </w:tcPr>
          <w:p w14:paraId="7D0CA667"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0.93</w:t>
            </w:r>
          </w:p>
        </w:tc>
        <w:tc>
          <w:tcPr>
            <w:tcW w:w="525" w:type="dxa"/>
            <w:tcBorders>
              <w:top w:val="nil"/>
              <w:left w:val="nil"/>
              <w:bottom w:val="nil"/>
              <w:right w:val="nil"/>
            </w:tcBorders>
            <w:shd w:val="clear" w:color="auto" w:fill="auto"/>
            <w:vAlign w:val="center"/>
            <w:hideMark/>
          </w:tcPr>
          <w:p w14:paraId="6958CBB4"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-0.66</w:t>
            </w:r>
          </w:p>
        </w:tc>
        <w:tc>
          <w:tcPr>
            <w:tcW w:w="1792" w:type="dxa"/>
            <w:tcBorders>
              <w:top w:val="nil"/>
              <w:left w:val="nil"/>
              <w:bottom w:val="single" w:sz="8" w:space="0" w:color="auto"/>
              <w:right w:val="single" w:sz="8" w:space="0" w:color="auto"/>
            </w:tcBorders>
            <w:shd w:val="clear" w:color="auto" w:fill="auto"/>
            <w:vAlign w:val="center"/>
            <w:hideMark/>
          </w:tcPr>
          <w:p w14:paraId="0E8BB633" w14:textId="77777777" w:rsidR="00062B6D" w:rsidRPr="00906CDD" w:rsidRDefault="00062B6D" w:rsidP="00906CDD">
            <w:pPr>
              <w:spacing w:line="360" w:lineRule="auto"/>
              <w:jc w:val="center"/>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2.99</w:t>
            </w:r>
          </w:p>
        </w:tc>
      </w:tr>
      <w:tr w:rsidR="00062B6D" w:rsidRPr="009C6517" w14:paraId="02903EFD" w14:textId="77777777" w:rsidTr="00062B6D">
        <w:trPr>
          <w:trHeight w:val="820"/>
        </w:trPr>
        <w:tc>
          <w:tcPr>
            <w:tcW w:w="5400" w:type="dxa"/>
            <w:gridSpan w:val="5"/>
            <w:tcBorders>
              <w:top w:val="single" w:sz="8" w:space="0" w:color="auto"/>
              <w:left w:val="nil"/>
              <w:bottom w:val="nil"/>
              <w:right w:val="nil"/>
            </w:tcBorders>
            <w:shd w:val="clear" w:color="auto" w:fill="auto"/>
            <w:vAlign w:val="center"/>
            <w:hideMark/>
          </w:tcPr>
          <w:p w14:paraId="22DC9015" w14:textId="77777777" w:rsidR="00062B6D" w:rsidRPr="00906CDD" w:rsidRDefault="00062B6D" w:rsidP="00906CDD">
            <w:pPr>
              <w:spacing w:line="360" w:lineRule="auto"/>
              <w:rPr>
                <w:rFonts w:ascii="Times New Roman" w:eastAsia="Times New Roman" w:hAnsi="Times New Roman" w:cs="Times New Roman"/>
                <w:color w:val="000000"/>
                <w:sz w:val="20"/>
                <w:szCs w:val="20"/>
              </w:rPr>
            </w:pPr>
            <w:r w:rsidRPr="00906CDD">
              <w:rPr>
                <w:rFonts w:ascii="Times New Roman" w:eastAsia="Times New Roman" w:hAnsi="Times New Roman" w:cs="Times New Roman"/>
                <w:color w:val="000000"/>
                <w:sz w:val="20"/>
                <w:szCs w:val="20"/>
              </w:rPr>
              <w:t xml:space="preserve">Note: The change in Weight %tile is defined as Weight %tile at birth minus Weight %tile at discharge. </w:t>
            </w:r>
            <w:proofErr w:type="gramStart"/>
            <w:r w:rsidRPr="00906CDD">
              <w:rPr>
                <w:rFonts w:ascii="Times New Roman" w:eastAsia="Times New Roman" w:hAnsi="Times New Roman" w:cs="Times New Roman"/>
                <w:color w:val="000000"/>
                <w:sz w:val="20"/>
                <w:szCs w:val="20"/>
              </w:rPr>
              <w:t>Thus</w:t>
            </w:r>
            <w:proofErr w:type="gramEnd"/>
            <w:r w:rsidRPr="00906CDD">
              <w:rPr>
                <w:rFonts w:ascii="Times New Roman" w:eastAsia="Times New Roman" w:hAnsi="Times New Roman" w:cs="Times New Roman"/>
                <w:color w:val="000000"/>
                <w:sz w:val="20"/>
                <w:szCs w:val="20"/>
              </w:rPr>
              <w:t xml:space="preserve"> a positive number indicates an weight loss.</w:t>
            </w:r>
          </w:p>
        </w:tc>
      </w:tr>
    </w:tbl>
    <w:p w14:paraId="64E34FA8" w14:textId="77777777" w:rsidR="00062B6D" w:rsidRPr="009C6517" w:rsidRDefault="00062B6D" w:rsidP="00AB5695">
      <w:pPr>
        <w:spacing w:line="360" w:lineRule="auto"/>
        <w:rPr>
          <w:rFonts w:ascii="Times New Roman" w:hAnsi="Times New Roman" w:cs="Times New Roman"/>
          <w:sz w:val="20"/>
          <w:szCs w:val="20"/>
        </w:rPr>
      </w:pPr>
    </w:p>
    <w:sectPr w:rsidR="00062B6D" w:rsidRPr="009C6517" w:rsidSect="00E06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D513B"/>
    <w:multiLevelType w:val="hybridMultilevel"/>
    <w:tmpl w:val="08E0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55B15"/>
    <w:multiLevelType w:val="hybridMultilevel"/>
    <w:tmpl w:val="DF426ABC"/>
    <w:lvl w:ilvl="0" w:tplc="5F4EB84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71DC4"/>
    <w:multiLevelType w:val="hybridMultilevel"/>
    <w:tmpl w:val="008E982E"/>
    <w:lvl w:ilvl="0" w:tplc="5F4EB84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B4AE8"/>
    <w:multiLevelType w:val="hybridMultilevel"/>
    <w:tmpl w:val="CA10765E"/>
    <w:lvl w:ilvl="0" w:tplc="5F4EB84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NzMwsTQ0NDE1MjFR0lEKTi0uzszPAykwrAUAfCIH7CwAAAA="/>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za2swpf5trv4e9f2nvzwtifrwzsred0p5a&quot;&gt;My EndNote Library&lt;record-ids&gt;&lt;item&gt;4&lt;/item&gt;&lt;/record-ids&gt;&lt;/item&gt;&lt;/Libraries&gt;"/>
  </w:docVars>
  <w:rsids>
    <w:rsidRoot w:val="00041AD3"/>
    <w:rsid w:val="00000610"/>
    <w:rsid w:val="0001519C"/>
    <w:rsid w:val="00024FE1"/>
    <w:rsid w:val="00032FF3"/>
    <w:rsid w:val="00036CBC"/>
    <w:rsid w:val="00041AD3"/>
    <w:rsid w:val="00051401"/>
    <w:rsid w:val="00062004"/>
    <w:rsid w:val="00062B6D"/>
    <w:rsid w:val="000670E1"/>
    <w:rsid w:val="00090A87"/>
    <w:rsid w:val="0009249A"/>
    <w:rsid w:val="00097233"/>
    <w:rsid w:val="000A2E6D"/>
    <w:rsid w:val="000B4DD1"/>
    <w:rsid w:val="000C0D47"/>
    <w:rsid w:val="000C595A"/>
    <w:rsid w:val="000D460D"/>
    <w:rsid w:val="000E2870"/>
    <w:rsid w:val="000F24E6"/>
    <w:rsid w:val="001071E6"/>
    <w:rsid w:val="00114F10"/>
    <w:rsid w:val="00116D16"/>
    <w:rsid w:val="00143D1D"/>
    <w:rsid w:val="00143F1E"/>
    <w:rsid w:val="00144C0E"/>
    <w:rsid w:val="0014771F"/>
    <w:rsid w:val="001551AF"/>
    <w:rsid w:val="001578C1"/>
    <w:rsid w:val="00157FFE"/>
    <w:rsid w:val="00177A77"/>
    <w:rsid w:val="001840AB"/>
    <w:rsid w:val="001A6B94"/>
    <w:rsid w:val="001A7C0F"/>
    <w:rsid w:val="001B1AE3"/>
    <w:rsid w:val="001C7B67"/>
    <w:rsid w:val="001D734B"/>
    <w:rsid w:val="001F26EB"/>
    <w:rsid w:val="0022204E"/>
    <w:rsid w:val="00226DFB"/>
    <w:rsid w:val="0024335A"/>
    <w:rsid w:val="00244A93"/>
    <w:rsid w:val="002649C6"/>
    <w:rsid w:val="0028557F"/>
    <w:rsid w:val="00292520"/>
    <w:rsid w:val="002A1F50"/>
    <w:rsid w:val="002C3BCB"/>
    <w:rsid w:val="002E2B9C"/>
    <w:rsid w:val="002E4D09"/>
    <w:rsid w:val="002F38E8"/>
    <w:rsid w:val="002F651B"/>
    <w:rsid w:val="00305F0D"/>
    <w:rsid w:val="003118EE"/>
    <w:rsid w:val="00311E30"/>
    <w:rsid w:val="00312495"/>
    <w:rsid w:val="003357E7"/>
    <w:rsid w:val="00355AC5"/>
    <w:rsid w:val="0037536F"/>
    <w:rsid w:val="003806FE"/>
    <w:rsid w:val="00391711"/>
    <w:rsid w:val="00391A5C"/>
    <w:rsid w:val="003A2091"/>
    <w:rsid w:val="003A27E3"/>
    <w:rsid w:val="003A6549"/>
    <w:rsid w:val="003B42BA"/>
    <w:rsid w:val="003C0179"/>
    <w:rsid w:val="003D0344"/>
    <w:rsid w:val="003D08C5"/>
    <w:rsid w:val="003D4BA7"/>
    <w:rsid w:val="0042754D"/>
    <w:rsid w:val="00464F96"/>
    <w:rsid w:val="00475D84"/>
    <w:rsid w:val="004A45CC"/>
    <w:rsid w:val="004D05AA"/>
    <w:rsid w:val="004E211D"/>
    <w:rsid w:val="004E7323"/>
    <w:rsid w:val="004F4C1A"/>
    <w:rsid w:val="00501048"/>
    <w:rsid w:val="00507200"/>
    <w:rsid w:val="00522CC6"/>
    <w:rsid w:val="00524FA2"/>
    <w:rsid w:val="00540F28"/>
    <w:rsid w:val="00540F30"/>
    <w:rsid w:val="00556444"/>
    <w:rsid w:val="00556985"/>
    <w:rsid w:val="00560FF9"/>
    <w:rsid w:val="00561EDD"/>
    <w:rsid w:val="00573A1F"/>
    <w:rsid w:val="005949CA"/>
    <w:rsid w:val="005A7BC7"/>
    <w:rsid w:val="005B2C77"/>
    <w:rsid w:val="005B60B8"/>
    <w:rsid w:val="005D3017"/>
    <w:rsid w:val="005F511B"/>
    <w:rsid w:val="0062203C"/>
    <w:rsid w:val="006247D3"/>
    <w:rsid w:val="00632B9F"/>
    <w:rsid w:val="00643625"/>
    <w:rsid w:val="006559BE"/>
    <w:rsid w:val="00655BEB"/>
    <w:rsid w:val="00667D7D"/>
    <w:rsid w:val="00683296"/>
    <w:rsid w:val="006A5168"/>
    <w:rsid w:val="006B29D5"/>
    <w:rsid w:val="006C1607"/>
    <w:rsid w:val="006C6A21"/>
    <w:rsid w:val="006D03B2"/>
    <w:rsid w:val="006D2D31"/>
    <w:rsid w:val="006E1223"/>
    <w:rsid w:val="006E5293"/>
    <w:rsid w:val="006F2308"/>
    <w:rsid w:val="006F3480"/>
    <w:rsid w:val="006F3722"/>
    <w:rsid w:val="00701ABD"/>
    <w:rsid w:val="007064F9"/>
    <w:rsid w:val="0073155D"/>
    <w:rsid w:val="007343DC"/>
    <w:rsid w:val="00745B67"/>
    <w:rsid w:val="00747A19"/>
    <w:rsid w:val="00754A3E"/>
    <w:rsid w:val="00760B3E"/>
    <w:rsid w:val="00767074"/>
    <w:rsid w:val="007673E6"/>
    <w:rsid w:val="0078507D"/>
    <w:rsid w:val="00795659"/>
    <w:rsid w:val="007A0027"/>
    <w:rsid w:val="007A5651"/>
    <w:rsid w:val="007B11C7"/>
    <w:rsid w:val="007B3E06"/>
    <w:rsid w:val="007C6231"/>
    <w:rsid w:val="007D2CA4"/>
    <w:rsid w:val="007D43CA"/>
    <w:rsid w:val="007D7C82"/>
    <w:rsid w:val="007F22E6"/>
    <w:rsid w:val="00830B2D"/>
    <w:rsid w:val="00841DD2"/>
    <w:rsid w:val="00856C3E"/>
    <w:rsid w:val="00860854"/>
    <w:rsid w:val="008745D1"/>
    <w:rsid w:val="00876337"/>
    <w:rsid w:val="008A3F46"/>
    <w:rsid w:val="008C0A3A"/>
    <w:rsid w:val="008C4514"/>
    <w:rsid w:val="008C5CC1"/>
    <w:rsid w:val="008D1C8B"/>
    <w:rsid w:val="008E6138"/>
    <w:rsid w:val="00904C07"/>
    <w:rsid w:val="0090583A"/>
    <w:rsid w:val="00906CDD"/>
    <w:rsid w:val="009228B4"/>
    <w:rsid w:val="00927220"/>
    <w:rsid w:val="00930FD3"/>
    <w:rsid w:val="00932921"/>
    <w:rsid w:val="00933FD5"/>
    <w:rsid w:val="0096447C"/>
    <w:rsid w:val="00964647"/>
    <w:rsid w:val="00976C0A"/>
    <w:rsid w:val="00990412"/>
    <w:rsid w:val="009A1A4F"/>
    <w:rsid w:val="009C6517"/>
    <w:rsid w:val="009D4072"/>
    <w:rsid w:val="009F4F8A"/>
    <w:rsid w:val="009F60BB"/>
    <w:rsid w:val="00A01E05"/>
    <w:rsid w:val="00A11591"/>
    <w:rsid w:val="00A12FCB"/>
    <w:rsid w:val="00A203EA"/>
    <w:rsid w:val="00A2056B"/>
    <w:rsid w:val="00A27A1A"/>
    <w:rsid w:val="00A425C0"/>
    <w:rsid w:val="00A57F83"/>
    <w:rsid w:val="00A63E15"/>
    <w:rsid w:val="00A668BE"/>
    <w:rsid w:val="00A754A9"/>
    <w:rsid w:val="00A83010"/>
    <w:rsid w:val="00A9079B"/>
    <w:rsid w:val="00A91260"/>
    <w:rsid w:val="00A97959"/>
    <w:rsid w:val="00AA1213"/>
    <w:rsid w:val="00AA48EA"/>
    <w:rsid w:val="00AB5695"/>
    <w:rsid w:val="00AC1487"/>
    <w:rsid w:val="00AD443B"/>
    <w:rsid w:val="00AD7146"/>
    <w:rsid w:val="00AD7CEA"/>
    <w:rsid w:val="00AF2D17"/>
    <w:rsid w:val="00AF4D2B"/>
    <w:rsid w:val="00B01985"/>
    <w:rsid w:val="00B10799"/>
    <w:rsid w:val="00B179A7"/>
    <w:rsid w:val="00B20BD0"/>
    <w:rsid w:val="00B20EE5"/>
    <w:rsid w:val="00B40EE1"/>
    <w:rsid w:val="00B41033"/>
    <w:rsid w:val="00B4182D"/>
    <w:rsid w:val="00B447CA"/>
    <w:rsid w:val="00B540CE"/>
    <w:rsid w:val="00B5646E"/>
    <w:rsid w:val="00B72A3F"/>
    <w:rsid w:val="00B7469C"/>
    <w:rsid w:val="00B9522D"/>
    <w:rsid w:val="00BA5A47"/>
    <w:rsid w:val="00BB187E"/>
    <w:rsid w:val="00BC2981"/>
    <w:rsid w:val="00BF26C2"/>
    <w:rsid w:val="00BF5379"/>
    <w:rsid w:val="00BF5D7E"/>
    <w:rsid w:val="00BF5FD0"/>
    <w:rsid w:val="00C01277"/>
    <w:rsid w:val="00C11A5A"/>
    <w:rsid w:val="00C21F93"/>
    <w:rsid w:val="00C22880"/>
    <w:rsid w:val="00C318E2"/>
    <w:rsid w:val="00C50AEA"/>
    <w:rsid w:val="00C51358"/>
    <w:rsid w:val="00C513E8"/>
    <w:rsid w:val="00C55A52"/>
    <w:rsid w:val="00C6366F"/>
    <w:rsid w:val="00C67BE6"/>
    <w:rsid w:val="00C70D00"/>
    <w:rsid w:val="00C76B7E"/>
    <w:rsid w:val="00C80E70"/>
    <w:rsid w:val="00C87794"/>
    <w:rsid w:val="00CA3244"/>
    <w:rsid w:val="00CC44D8"/>
    <w:rsid w:val="00CD207D"/>
    <w:rsid w:val="00CE4681"/>
    <w:rsid w:val="00D1014D"/>
    <w:rsid w:val="00D4216E"/>
    <w:rsid w:val="00D42534"/>
    <w:rsid w:val="00D54EE7"/>
    <w:rsid w:val="00D5601C"/>
    <w:rsid w:val="00D65283"/>
    <w:rsid w:val="00D7037F"/>
    <w:rsid w:val="00DA2614"/>
    <w:rsid w:val="00DB4EEF"/>
    <w:rsid w:val="00DC02F3"/>
    <w:rsid w:val="00DC68D4"/>
    <w:rsid w:val="00DE5A89"/>
    <w:rsid w:val="00E03D44"/>
    <w:rsid w:val="00E06E14"/>
    <w:rsid w:val="00E10887"/>
    <w:rsid w:val="00E37A54"/>
    <w:rsid w:val="00E4498E"/>
    <w:rsid w:val="00E51394"/>
    <w:rsid w:val="00E52267"/>
    <w:rsid w:val="00E5308B"/>
    <w:rsid w:val="00E60A00"/>
    <w:rsid w:val="00E634B1"/>
    <w:rsid w:val="00E7042F"/>
    <w:rsid w:val="00E77144"/>
    <w:rsid w:val="00E80762"/>
    <w:rsid w:val="00EA0367"/>
    <w:rsid w:val="00EE0516"/>
    <w:rsid w:val="00EF0622"/>
    <w:rsid w:val="00EF1C64"/>
    <w:rsid w:val="00EF7E16"/>
    <w:rsid w:val="00F0100D"/>
    <w:rsid w:val="00F0384A"/>
    <w:rsid w:val="00F119BD"/>
    <w:rsid w:val="00F1622A"/>
    <w:rsid w:val="00F163E2"/>
    <w:rsid w:val="00F54765"/>
    <w:rsid w:val="00F61426"/>
    <w:rsid w:val="00F62CF3"/>
    <w:rsid w:val="00F91E22"/>
    <w:rsid w:val="00FA0FD2"/>
    <w:rsid w:val="00FA5181"/>
    <w:rsid w:val="00FB6D4E"/>
    <w:rsid w:val="00FC01CF"/>
    <w:rsid w:val="00FD66EE"/>
    <w:rsid w:val="00FF5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8823"/>
  <w15:docId w15:val="{72A832C2-BA46-E04E-81B8-0A803B6F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AD3"/>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CA32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3244"/>
    <w:rPr>
      <w:rFonts w:ascii="Times New Roman" w:hAnsi="Times New Roman" w:cs="Times New Roman"/>
      <w:sz w:val="18"/>
      <w:szCs w:val="18"/>
    </w:rPr>
  </w:style>
  <w:style w:type="character" w:styleId="Hyperlink">
    <w:name w:val="Hyperlink"/>
    <w:basedOn w:val="DefaultParagraphFont"/>
    <w:uiPriority w:val="99"/>
    <w:semiHidden/>
    <w:unhideWhenUsed/>
    <w:rsid w:val="000C0D47"/>
    <w:rPr>
      <w:color w:val="0000FF"/>
      <w:u w:val="single"/>
    </w:rPr>
  </w:style>
  <w:style w:type="paragraph" w:styleId="ListParagraph">
    <w:name w:val="List Paragraph"/>
    <w:basedOn w:val="Normal"/>
    <w:uiPriority w:val="34"/>
    <w:qFormat/>
    <w:rsid w:val="001578C1"/>
    <w:pPr>
      <w:ind w:left="720"/>
      <w:contextualSpacing/>
    </w:pPr>
  </w:style>
  <w:style w:type="table" w:styleId="TableGrid">
    <w:name w:val="Table Grid"/>
    <w:basedOn w:val="TableNormal"/>
    <w:uiPriority w:val="39"/>
    <w:rsid w:val="007B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E16"/>
    <w:rPr>
      <w:sz w:val="16"/>
      <w:szCs w:val="16"/>
    </w:rPr>
  </w:style>
  <w:style w:type="paragraph" w:styleId="CommentText">
    <w:name w:val="annotation text"/>
    <w:basedOn w:val="Normal"/>
    <w:link w:val="CommentTextChar"/>
    <w:uiPriority w:val="99"/>
    <w:semiHidden/>
    <w:unhideWhenUsed/>
    <w:rsid w:val="00EF7E16"/>
    <w:rPr>
      <w:sz w:val="20"/>
      <w:szCs w:val="20"/>
    </w:rPr>
  </w:style>
  <w:style w:type="character" w:customStyle="1" w:styleId="CommentTextChar">
    <w:name w:val="Comment Text Char"/>
    <w:basedOn w:val="DefaultParagraphFont"/>
    <w:link w:val="CommentText"/>
    <w:uiPriority w:val="99"/>
    <w:semiHidden/>
    <w:rsid w:val="00EF7E16"/>
    <w:rPr>
      <w:sz w:val="20"/>
      <w:szCs w:val="20"/>
    </w:rPr>
  </w:style>
  <w:style w:type="paragraph" w:styleId="CommentSubject">
    <w:name w:val="annotation subject"/>
    <w:basedOn w:val="CommentText"/>
    <w:next w:val="CommentText"/>
    <w:link w:val="CommentSubjectChar"/>
    <w:uiPriority w:val="99"/>
    <w:semiHidden/>
    <w:unhideWhenUsed/>
    <w:rsid w:val="00EF7E16"/>
    <w:rPr>
      <w:b/>
      <w:bCs/>
    </w:rPr>
  </w:style>
  <w:style w:type="character" w:customStyle="1" w:styleId="CommentSubjectChar">
    <w:name w:val="Comment Subject Char"/>
    <w:basedOn w:val="CommentTextChar"/>
    <w:link w:val="CommentSubject"/>
    <w:uiPriority w:val="99"/>
    <w:semiHidden/>
    <w:rsid w:val="00EF7E16"/>
    <w:rPr>
      <w:b/>
      <w:bCs/>
      <w:sz w:val="20"/>
      <w:szCs w:val="20"/>
    </w:rPr>
  </w:style>
  <w:style w:type="paragraph" w:styleId="Revision">
    <w:name w:val="Revision"/>
    <w:hidden/>
    <w:uiPriority w:val="99"/>
    <w:semiHidden/>
    <w:rsid w:val="00C8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5400">
      <w:bodyDiv w:val="1"/>
      <w:marLeft w:val="0"/>
      <w:marRight w:val="0"/>
      <w:marTop w:val="0"/>
      <w:marBottom w:val="0"/>
      <w:divBdr>
        <w:top w:val="none" w:sz="0" w:space="0" w:color="auto"/>
        <w:left w:val="none" w:sz="0" w:space="0" w:color="auto"/>
        <w:bottom w:val="none" w:sz="0" w:space="0" w:color="auto"/>
        <w:right w:val="none" w:sz="0" w:space="0" w:color="auto"/>
      </w:divBdr>
    </w:div>
    <w:div w:id="372463988">
      <w:bodyDiv w:val="1"/>
      <w:marLeft w:val="0"/>
      <w:marRight w:val="0"/>
      <w:marTop w:val="0"/>
      <w:marBottom w:val="0"/>
      <w:divBdr>
        <w:top w:val="none" w:sz="0" w:space="0" w:color="auto"/>
        <w:left w:val="none" w:sz="0" w:space="0" w:color="auto"/>
        <w:bottom w:val="none" w:sz="0" w:space="0" w:color="auto"/>
        <w:right w:val="none" w:sz="0" w:space="0" w:color="auto"/>
      </w:divBdr>
    </w:div>
    <w:div w:id="594560010">
      <w:bodyDiv w:val="1"/>
      <w:marLeft w:val="0"/>
      <w:marRight w:val="0"/>
      <w:marTop w:val="0"/>
      <w:marBottom w:val="0"/>
      <w:divBdr>
        <w:top w:val="none" w:sz="0" w:space="0" w:color="auto"/>
        <w:left w:val="none" w:sz="0" w:space="0" w:color="auto"/>
        <w:bottom w:val="none" w:sz="0" w:space="0" w:color="auto"/>
        <w:right w:val="none" w:sz="0" w:space="0" w:color="auto"/>
      </w:divBdr>
    </w:div>
    <w:div w:id="649139406">
      <w:bodyDiv w:val="1"/>
      <w:marLeft w:val="0"/>
      <w:marRight w:val="0"/>
      <w:marTop w:val="0"/>
      <w:marBottom w:val="0"/>
      <w:divBdr>
        <w:top w:val="none" w:sz="0" w:space="0" w:color="auto"/>
        <w:left w:val="none" w:sz="0" w:space="0" w:color="auto"/>
        <w:bottom w:val="none" w:sz="0" w:space="0" w:color="auto"/>
        <w:right w:val="none" w:sz="0" w:space="0" w:color="auto"/>
      </w:divBdr>
    </w:div>
    <w:div w:id="690762061">
      <w:bodyDiv w:val="1"/>
      <w:marLeft w:val="0"/>
      <w:marRight w:val="0"/>
      <w:marTop w:val="0"/>
      <w:marBottom w:val="0"/>
      <w:divBdr>
        <w:top w:val="none" w:sz="0" w:space="0" w:color="auto"/>
        <w:left w:val="none" w:sz="0" w:space="0" w:color="auto"/>
        <w:bottom w:val="none" w:sz="0" w:space="0" w:color="auto"/>
        <w:right w:val="none" w:sz="0" w:space="0" w:color="auto"/>
      </w:divBdr>
    </w:div>
    <w:div w:id="943879353">
      <w:bodyDiv w:val="1"/>
      <w:marLeft w:val="0"/>
      <w:marRight w:val="0"/>
      <w:marTop w:val="0"/>
      <w:marBottom w:val="0"/>
      <w:divBdr>
        <w:top w:val="none" w:sz="0" w:space="0" w:color="auto"/>
        <w:left w:val="none" w:sz="0" w:space="0" w:color="auto"/>
        <w:bottom w:val="none" w:sz="0" w:space="0" w:color="auto"/>
        <w:right w:val="none" w:sz="0" w:space="0" w:color="auto"/>
      </w:divBdr>
    </w:div>
    <w:div w:id="1116949343">
      <w:bodyDiv w:val="1"/>
      <w:marLeft w:val="0"/>
      <w:marRight w:val="0"/>
      <w:marTop w:val="0"/>
      <w:marBottom w:val="0"/>
      <w:divBdr>
        <w:top w:val="none" w:sz="0" w:space="0" w:color="auto"/>
        <w:left w:val="none" w:sz="0" w:space="0" w:color="auto"/>
        <w:bottom w:val="none" w:sz="0" w:space="0" w:color="auto"/>
        <w:right w:val="none" w:sz="0" w:space="0" w:color="auto"/>
      </w:divBdr>
    </w:div>
    <w:div w:id="1330907971">
      <w:bodyDiv w:val="1"/>
      <w:marLeft w:val="0"/>
      <w:marRight w:val="0"/>
      <w:marTop w:val="0"/>
      <w:marBottom w:val="0"/>
      <w:divBdr>
        <w:top w:val="none" w:sz="0" w:space="0" w:color="auto"/>
        <w:left w:val="none" w:sz="0" w:space="0" w:color="auto"/>
        <w:bottom w:val="none" w:sz="0" w:space="0" w:color="auto"/>
        <w:right w:val="none" w:sz="0" w:space="0" w:color="auto"/>
      </w:divBdr>
    </w:div>
    <w:div w:id="1452437474">
      <w:bodyDiv w:val="1"/>
      <w:marLeft w:val="0"/>
      <w:marRight w:val="0"/>
      <w:marTop w:val="0"/>
      <w:marBottom w:val="0"/>
      <w:divBdr>
        <w:top w:val="none" w:sz="0" w:space="0" w:color="auto"/>
        <w:left w:val="none" w:sz="0" w:space="0" w:color="auto"/>
        <w:bottom w:val="none" w:sz="0" w:space="0" w:color="auto"/>
        <w:right w:val="none" w:sz="0" w:space="0" w:color="auto"/>
      </w:divBdr>
    </w:div>
    <w:div w:id="1670785706">
      <w:bodyDiv w:val="1"/>
      <w:marLeft w:val="0"/>
      <w:marRight w:val="0"/>
      <w:marTop w:val="0"/>
      <w:marBottom w:val="0"/>
      <w:divBdr>
        <w:top w:val="none" w:sz="0" w:space="0" w:color="auto"/>
        <w:left w:val="none" w:sz="0" w:space="0" w:color="auto"/>
        <w:bottom w:val="none" w:sz="0" w:space="0" w:color="auto"/>
        <w:right w:val="none" w:sz="0" w:space="0" w:color="auto"/>
      </w:divBdr>
    </w:div>
    <w:div w:id="1677996861">
      <w:bodyDiv w:val="1"/>
      <w:marLeft w:val="0"/>
      <w:marRight w:val="0"/>
      <w:marTop w:val="0"/>
      <w:marBottom w:val="0"/>
      <w:divBdr>
        <w:top w:val="none" w:sz="0" w:space="0" w:color="auto"/>
        <w:left w:val="none" w:sz="0" w:space="0" w:color="auto"/>
        <w:bottom w:val="none" w:sz="0" w:space="0" w:color="auto"/>
        <w:right w:val="none" w:sz="0" w:space="0" w:color="auto"/>
      </w:divBdr>
    </w:div>
    <w:div w:id="1713963959">
      <w:bodyDiv w:val="1"/>
      <w:marLeft w:val="0"/>
      <w:marRight w:val="0"/>
      <w:marTop w:val="0"/>
      <w:marBottom w:val="0"/>
      <w:divBdr>
        <w:top w:val="none" w:sz="0" w:space="0" w:color="auto"/>
        <w:left w:val="none" w:sz="0" w:space="0" w:color="auto"/>
        <w:bottom w:val="none" w:sz="0" w:space="0" w:color="auto"/>
        <w:right w:val="none" w:sz="0" w:space="0" w:color="auto"/>
      </w:divBdr>
    </w:div>
    <w:div w:id="1737970113">
      <w:bodyDiv w:val="1"/>
      <w:marLeft w:val="0"/>
      <w:marRight w:val="0"/>
      <w:marTop w:val="0"/>
      <w:marBottom w:val="0"/>
      <w:divBdr>
        <w:top w:val="none" w:sz="0" w:space="0" w:color="auto"/>
        <w:left w:val="none" w:sz="0" w:space="0" w:color="auto"/>
        <w:bottom w:val="none" w:sz="0" w:space="0" w:color="auto"/>
        <w:right w:val="none" w:sz="0" w:space="0" w:color="auto"/>
      </w:divBdr>
    </w:div>
    <w:div w:id="1950316303">
      <w:bodyDiv w:val="1"/>
      <w:marLeft w:val="0"/>
      <w:marRight w:val="0"/>
      <w:marTop w:val="0"/>
      <w:marBottom w:val="0"/>
      <w:divBdr>
        <w:top w:val="none" w:sz="0" w:space="0" w:color="auto"/>
        <w:left w:val="none" w:sz="0" w:space="0" w:color="auto"/>
        <w:bottom w:val="none" w:sz="0" w:space="0" w:color="auto"/>
        <w:right w:val="none" w:sz="0" w:space="0" w:color="auto"/>
      </w:divBdr>
    </w:div>
    <w:div w:id="1981571062">
      <w:bodyDiv w:val="1"/>
      <w:marLeft w:val="0"/>
      <w:marRight w:val="0"/>
      <w:marTop w:val="0"/>
      <w:marBottom w:val="0"/>
      <w:divBdr>
        <w:top w:val="none" w:sz="0" w:space="0" w:color="auto"/>
        <w:left w:val="none" w:sz="0" w:space="0" w:color="auto"/>
        <w:bottom w:val="none" w:sz="0" w:space="0" w:color="auto"/>
        <w:right w:val="none" w:sz="0" w:space="0" w:color="auto"/>
      </w:divBdr>
    </w:div>
    <w:div w:id="2057467886">
      <w:bodyDiv w:val="1"/>
      <w:marLeft w:val="0"/>
      <w:marRight w:val="0"/>
      <w:marTop w:val="0"/>
      <w:marBottom w:val="0"/>
      <w:divBdr>
        <w:top w:val="none" w:sz="0" w:space="0" w:color="auto"/>
        <w:left w:val="none" w:sz="0" w:space="0" w:color="auto"/>
        <w:bottom w:val="none" w:sz="0" w:space="0" w:color="auto"/>
        <w:right w:val="none" w:sz="0" w:space="0" w:color="auto"/>
      </w:divBdr>
    </w:div>
    <w:div w:id="210818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E:\_Project_UMMS\_Project26_AGA%20growth%20failure_Davenport\Table\AGA02_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Figure 1. Potential Causes of EUGR in Pre- and Post-intervention Cohorts for Infants with Growth Failure (N=53)</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'Fig1'!$D$18</c:f>
              <c:strCache>
                <c:ptCount val="1"/>
                <c:pt idx="0">
                  <c:v>Pre intervention (N=27)</c:v>
                </c:pt>
              </c:strCache>
            </c:strRef>
          </c:tx>
          <c:spPr>
            <a:solidFill>
              <a:schemeClr val="accent1"/>
            </a:solidFill>
            <a:ln>
              <a:noFill/>
            </a:ln>
            <a:effectLst/>
          </c:spPr>
          <c:invertIfNegative val="0"/>
          <c:cat>
            <c:strRef>
              <c:f>'Fig1'!$C$19:$C$25</c:f>
              <c:strCache>
                <c:ptCount val="7"/>
                <c:pt idx="0">
                  <c:v>NEC</c:v>
                </c:pt>
                <c:pt idx="1">
                  <c:v>delayed return to bw</c:v>
                </c:pt>
                <c:pt idx="2">
                  <c:v>hyponatremia</c:v>
                </c:pt>
                <c:pt idx="3">
                  <c:v>inadequate intake</c:v>
                </c:pt>
                <c:pt idx="4">
                  <c:v>constitionally small</c:v>
                </c:pt>
                <c:pt idx="5">
                  <c:v>aerodigestive issues</c:v>
                </c:pt>
                <c:pt idx="6">
                  <c:v>other issues</c:v>
                </c:pt>
              </c:strCache>
            </c:strRef>
          </c:cat>
          <c:val>
            <c:numRef>
              <c:f>'Fig1'!$D$19:$D$25</c:f>
              <c:numCache>
                <c:formatCode>0.00</c:formatCode>
                <c:ptCount val="7"/>
                <c:pt idx="0">
                  <c:v>3.7037</c:v>
                </c:pt>
                <c:pt idx="1">
                  <c:v>33.333329999999997</c:v>
                </c:pt>
                <c:pt idx="2">
                  <c:v>22.22222</c:v>
                </c:pt>
                <c:pt idx="3">
                  <c:v>11.11111</c:v>
                </c:pt>
                <c:pt idx="4">
                  <c:v>22.22222</c:v>
                </c:pt>
                <c:pt idx="5">
                  <c:v>22.22222</c:v>
                </c:pt>
                <c:pt idx="6">
                  <c:v>18.518519999999999</c:v>
                </c:pt>
              </c:numCache>
            </c:numRef>
          </c:val>
          <c:extLst>
            <c:ext xmlns:c16="http://schemas.microsoft.com/office/drawing/2014/chart" uri="{C3380CC4-5D6E-409C-BE32-E72D297353CC}">
              <c16:uniqueId val="{00000000-33E9-3644-87BF-502AEBB54CB2}"/>
            </c:ext>
          </c:extLst>
        </c:ser>
        <c:ser>
          <c:idx val="1"/>
          <c:order val="1"/>
          <c:tx>
            <c:strRef>
              <c:f>'Fig1'!$E$18</c:f>
              <c:strCache>
                <c:ptCount val="1"/>
                <c:pt idx="0">
                  <c:v>Post intervention (N=26)</c:v>
                </c:pt>
              </c:strCache>
            </c:strRef>
          </c:tx>
          <c:spPr>
            <a:solidFill>
              <a:srgbClr val="00B0F0"/>
            </a:solidFill>
            <a:ln>
              <a:noFill/>
            </a:ln>
            <a:effectLst/>
          </c:spPr>
          <c:invertIfNegative val="0"/>
          <c:cat>
            <c:strRef>
              <c:f>'Fig1'!$C$19:$C$25</c:f>
              <c:strCache>
                <c:ptCount val="7"/>
                <c:pt idx="0">
                  <c:v>NEC</c:v>
                </c:pt>
                <c:pt idx="1">
                  <c:v>delayed return to bw</c:v>
                </c:pt>
                <c:pt idx="2">
                  <c:v>hyponatremia</c:v>
                </c:pt>
                <c:pt idx="3">
                  <c:v>inadequate intake</c:v>
                </c:pt>
                <c:pt idx="4">
                  <c:v>constitionally small</c:v>
                </c:pt>
                <c:pt idx="5">
                  <c:v>aerodigestive issues</c:v>
                </c:pt>
                <c:pt idx="6">
                  <c:v>other issues</c:v>
                </c:pt>
              </c:strCache>
            </c:strRef>
          </c:cat>
          <c:val>
            <c:numRef>
              <c:f>'Fig1'!$E$19:$E$25</c:f>
              <c:numCache>
                <c:formatCode>0.00</c:formatCode>
                <c:ptCount val="7"/>
                <c:pt idx="0">
                  <c:v>18.518519999999999</c:v>
                </c:pt>
                <c:pt idx="1">
                  <c:v>30.769229999999997</c:v>
                </c:pt>
                <c:pt idx="2">
                  <c:v>30.769229999999997</c:v>
                </c:pt>
                <c:pt idx="3">
                  <c:v>11.538460000000001</c:v>
                </c:pt>
                <c:pt idx="4">
                  <c:v>30.769229999999997</c:v>
                </c:pt>
                <c:pt idx="5">
                  <c:v>7.6923099999999991</c:v>
                </c:pt>
                <c:pt idx="6">
                  <c:v>19.23077</c:v>
                </c:pt>
              </c:numCache>
            </c:numRef>
          </c:val>
          <c:extLst>
            <c:ext xmlns:c16="http://schemas.microsoft.com/office/drawing/2014/chart" uri="{C3380CC4-5D6E-409C-BE32-E72D297353CC}">
              <c16:uniqueId val="{00000001-33E9-3644-87BF-502AEBB54CB2}"/>
            </c:ext>
          </c:extLst>
        </c:ser>
        <c:dLbls>
          <c:showLegendKey val="0"/>
          <c:showVal val="0"/>
          <c:showCatName val="0"/>
          <c:showSerName val="0"/>
          <c:showPercent val="0"/>
          <c:showBubbleSize val="0"/>
        </c:dLbls>
        <c:gapWidth val="219"/>
        <c:overlap val="-27"/>
        <c:axId val="900794303"/>
        <c:axId val="1024792079"/>
      </c:barChart>
      <c:catAx>
        <c:axId val="900794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4792079"/>
        <c:crosses val="autoZero"/>
        <c:auto val="1"/>
        <c:lblAlgn val="ctr"/>
        <c:lblOffset val="100"/>
        <c:noMultiLvlLbl val="0"/>
      </c:catAx>
      <c:valAx>
        <c:axId val="1024792079"/>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794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0.04931</cdr:x>
      <cdr:y>0.22669</cdr:y>
    </cdr:from>
    <cdr:to>
      <cdr:x>0.18264</cdr:x>
      <cdr:y>0.32265</cdr:y>
    </cdr:to>
    <cdr:sp macro="" textlink="">
      <cdr:nvSpPr>
        <cdr:cNvPr id="2" name="TextBox 1">
          <a:extLst xmlns:a="http://schemas.openxmlformats.org/drawingml/2006/main">
            <a:ext uri="{FF2B5EF4-FFF2-40B4-BE49-F238E27FC236}">
              <a16:creationId xmlns:a16="http://schemas.microsoft.com/office/drawing/2014/main" id="{D8FB32A4-EDE9-4732-9E4F-E00027549DBD}"/>
            </a:ext>
          </a:extLst>
        </cdr:cNvPr>
        <cdr:cNvSpPr txBox="1"/>
      </cdr:nvSpPr>
      <cdr:spPr>
        <a:xfrm xmlns:a="http://schemas.openxmlformats.org/drawingml/2006/main">
          <a:off x="263333" y="629052"/>
          <a:ext cx="712029" cy="2662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p=.01</a:t>
          </a:r>
        </a:p>
      </cdr:txBody>
    </cdr:sp>
  </cdr:relSizeAnchor>
  <cdr:relSizeAnchor xmlns:cdr="http://schemas.openxmlformats.org/drawingml/2006/chartDrawing">
    <cdr:from>
      <cdr:x>0.19792</cdr:x>
      <cdr:y>0.17194</cdr:y>
    </cdr:from>
    <cdr:to>
      <cdr:x>0.32292</cdr:x>
      <cdr:y>0.25494</cdr:y>
    </cdr:to>
    <cdr:sp macro="" textlink="">
      <cdr:nvSpPr>
        <cdr:cNvPr id="3" name="TextBox 2">
          <a:extLst xmlns:a="http://schemas.openxmlformats.org/drawingml/2006/main">
            <a:ext uri="{FF2B5EF4-FFF2-40B4-BE49-F238E27FC236}">
              <a16:creationId xmlns:a16="http://schemas.microsoft.com/office/drawing/2014/main" id="{8028274B-6FBB-4501-848E-9EF6FB9AC324}"/>
            </a:ext>
          </a:extLst>
        </cdr:cNvPr>
        <cdr:cNvSpPr txBox="1"/>
      </cdr:nvSpPr>
      <cdr:spPr>
        <a:xfrm xmlns:a="http://schemas.openxmlformats.org/drawingml/2006/main">
          <a:off x="904875" y="552450"/>
          <a:ext cx="5715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p=.84</a:t>
          </a:r>
        </a:p>
      </cdr:txBody>
    </cdr:sp>
  </cdr:relSizeAnchor>
  <cdr:relSizeAnchor xmlns:cdr="http://schemas.openxmlformats.org/drawingml/2006/chartDrawing">
    <cdr:from>
      <cdr:x>0.32708</cdr:x>
      <cdr:y>0.20751</cdr:y>
    </cdr:from>
    <cdr:to>
      <cdr:x>0.44792</cdr:x>
      <cdr:y>0.29748</cdr:y>
    </cdr:to>
    <cdr:sp macro="" textlink="">
      <cdr:nvSpPr>
        <cdr:cNvPr id="4" name="TextBox 3">
          <a:extLst xmlns:a="http://schemas.openxmlformats.org/drawingml/2006/main">
            <a:ext uri="{FF2B5EF4-FFF2-40B4-BE49-F238E27FC236}">
              <a16:creationId xmlns:a16="http://schemas.microsoft.com/office/drawing/2014/main" id="{10A767DE-D918-4DE7-88C3-1E19926D84A1}"/>
            </a:ext>
          </a:extLst>
        </cdr:cNvPr>
        <cdr:cNvSpPr txBox="1"/>
      </cdr:nvSpPr>
      <cdr:spPr>
        <a:xfrm xmlns:a="http://schemas.openxmlformats.org/drawingml/2006/main">
          <a:off x="1746722" y="575830"/>
          <a:ext cx="645328" cy="2496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p=.47</a:t>
          </a:r>
        </a:p>
      </cdr:txBody>
    </cdr:sp>
  </cdr:relSizeAnchor>
  <cdr:relSizeAnchor xmlns:cdr="http://schemas.openxmlformats.org/drawingml/2006/chartDrawing">
    <cdr:from>
      <cdr:x>0.44931</cdr:x>
      <cdr:y>0.32806</cdr:y>
    </cdr:from>
    <cdr:to>
      <cdr:x>0.57569</cdr:x>
      <cdr:y>0.40119</cdr:y>
    </cdr:to>
    <cdr:sp macro="" textlink="">
      <cdr:nvSpPr>
        <cdr:cNvPr id="5" name="TextBox 4">
          <a:extLst xmlns:a="http://schemas.openxmlformats.org/drawingml/2006/main">
            <a:ext uri="{FF2B5EF4-FFF2-40B4-BE49-F238E27FC236}">
              <a16:creationId xmlns:a16="http://schemas.microsoft.com/office/drawing/2014/main" id="{BD472F4E-871F-4352-9E87-02F1481ACBF3}"/>
            </a:ext>
          </a:extLst>
        </cdr:cNvPr>
        <cdr:cNvSpPr txBox="1"/>
      </cdr:nvSpPr>
      <cdr:spPr>
        <a:xfrm xmlns:a="http://schemas.openxmlformats.org/drawingml/2006/main">
          <a:off x="2054225" y="1054100"/>
          <a:ext cx="57785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p=.08</a:t>
          </a:r>
        </a:p>
      </cdr:txBody>
    </cdr:sp>
  </cdr:relSizeAnchor>
  <cdr:relSizeAnchor xmlns:cdr="http://schemas.openxmlformats.org/drawingml/2006/chartDrawing">
    <cdr:from>
      <cdr:x>0.58403</cdr:x>
      <cdr:y>0.21542</cdr:y>
    </cdr:from>
    <cdr:to>
      <cdr:x>0.71319</cdr:x>
      <cdr:y>0.29447</cdr:y>
    </cdr:to>
    <cdr:sp macro="" textlink="">
      <cdr:nvSpPr>
        <cdr:cNvPr id="6" name="TextBox 5">
          <a:extLst xmlns:a="http://schemas.openxmlformats.org/drawingml/2006/main">
            <a:ext uri="{FF2B5EF4-FFF2-40B4-BE49-F238E27FC236}">
              <a16:creationId xmlns:a16="http://schemas.microsoft.com/office/drawing/2014/main" id="{6CCF8316-AF06-4ACB-8BE9-90268911E265}"/>
            </a:ext>
          </a:extLst>
        </cdr:cNvPr>
        <cdr:cNvSpPr txBox="1"/>
      </cdr:nvSpPr>
      <cdr:spPr>
        <a:xfrm xmlns:a="http://schemas.openxmlformats.org/drawingml/2006/main">
          <a:off x="2670175" y="692150"/>
          <a:ext cx="59055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p=.25</a:t>
          </a:r>
        </a:p>
      </cdr:txBody>
    </cdr:sp>
  </cdr:relSizeAnchor>
  <cdr:relSizeAnchor xmlns:cdr="http://schemas.openxmlformats.org/drawingml/2006/chartDrawing">
    <cdr:from>
      <cdr:x>0.73681</cdr:x>
      <cdr:y>0.27273</cdr:y>
    </cdr:from>
    <cdr:to>
      <cdr:x>0.86042</cdr:x>
      <cdr:y>0.33794</cdr:y>
    </cdr:to>
    <cdr:sp macro="" textlink="">
      <cdr:nvSpPr>
        <cdr:cNvPr id="7" name="TextBox 6">
          <a:extLst xmlns:a="http://schemas.openxmlformats.org/drawingml/2006/main">
            <a:ext uri="{FF2B5EF4-FFF2-40B4-BE49-F238E27FC236}">
              <a16:creationId xmlns:a16="http://schemas.microsoft.com/office/drawing/2014/main" id="{19C32A30-7A3B-456E-A9CD-29BF7A6810D7}"/>
            </a:ext>
          </a:extLst>
        </cdr:cNvPr>
        <cdr:cNvSpPr txBox="1"/>
      </cdr:nvSpPr>
      <cdr:spPr>
        <a:xfrm xmlns:a="http://schemas.openxmlformats.org/drawingml/2006/main">
          <a:off x="3368675" y="876300"/>
          <a:ext cx="5651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p=.79</a:t>
          </a:r>
        </a:p>
      </cdr:txBody>
    </cdr:sp>
  </cdr:relSizeAnchor>
  <cdr:relSizeAnchor xmlns:cdr="http://schemas.openxmlformats.org/drawingml/2006/chartDrawing">
    <cdr:from>
      <cdr:x>0.84375</cdr:x>
      <cdr:y>0.26285</cdr:y>
    </cdr:from>
    <cdr:to>
      <cdr:x>0.96736</cdr:x>
      <cdr:y>0.33794</cdr:y>
    </cdr:to>
    <cdr:sp macro="" textlink="">
      <cdr:nvSpPr>
        <cdr:cNvPr id="8" name="TextBox 7">
          <a:extLst xmlns:a="http://schemas.openxmlformats.org/drawingml/2006/main">
            <a:ext uri="{FF2B5EF4-FFF2-40B4-BE49-F238E27FC236}">
              <a16:creationId xmlns:a16="http://schemas.microsoft.com/office/drawing/2014/main" id="{B2D72526-BA81-4775-AB51-815621C0DCBE}"/>
            </a:ext>
          </a:extLst>
        </cdr:cNvPr>
        <cdr:cNvSpPr txBox="1"/>
      </cdr:nvSpPr>
      <cdr:spPr>
        <a:xfrm xmlns:a="http://schemas.openxmlformats.org/drawingml/2006/main">
          <a:off x="3857625" y="844550"/>
          <a:ext cx="565150" cy="241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p=.70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6439-DC0B-4BA6-814D-5A21779C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Sarah</dc:creator>
  <cp:keywords/>
  <dc:description/>
  <cp:lastModifiedBy>Davenport, Sarah</cp:lastModifiedBy>
  <cp:revision>2</cp:revision>
  <dcterms:created xsi:type="dcterms:W3CDTF">2021-06-08T17:55:00Z</dcterms:created>
  <dcterms:modified xsi:type="dcterms:W3CDTF">2021-06-08T17:55:00Z</dcterms:modified>
</cp:coreProperties>
</file>