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E" w:rsidRPr="0041390E" w:rsidRDefault="0041390E" w:rsidP="0041390E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41390E">
        <w:rPr>
          <w:rFonts w:ascii="Arial" w:hAnsi="Arial" w:cs="Arial"/>
          <w:b/>
          <w:bCs/>
          <w:caps/>
          <w:sz w:val="22"/>
          <w:szCs w:val="22"/>
        </w:rPr>
        <w:t>Companion Diagnostics for Breast Cancer Chemotherapeutics</w:t>
      </w:r>
    </w:p>
    <w:p w:rsidR="0041390E" w:rsidRDefault="0041390E" w:rsidP="0041390E">
      <w:pPr>
        <w:rPr>
          <w:rFonts w:ascii="Arial" w:hAnsi="Arial" w:cs="Arial"/>
          <w:sz w:val="22"/>
          <w:szCs w:val="22"/>
        </w:rPr>
      </w:pPr>
    </w:p>
    <w:p w:rsidR="0041390E" w:rsidRPr="0041390E" w:rsidRDefault="0041390E" w:rsidP="0041390E">
      <w:pPr>
        <w:rPr>
          <w:rFonts w:ascii="Arial" w:hAnsi="Arial" w:cs="Arial"/>
          <w:sz w:val="22"/>
          <w:szCs w:val="22"/>
        </w:rPr>
      </w:pPr>
      <w:r w:rsidRPr="0041390E">
        <w:rPr>
          <w:rFonts w:ascii="Arial" w:hAnsi="Arial" w:cs="Arial"/>
          <w:sz w:val="22"/>
          <w:szCs w:val="22"/>
        </w:rPr>
        <w:t xml:space="preserve">Monica </w:t>
      </w:r>
      <w:proofErr w:type="spellStart"/>
      <w:r w:rsidRPr="0041390E">
        <w:rPr>
          <w:rFonts w:ascii="Arial" w:hAnsi="Arial" w:cs="Arial"/>
          <w:sz w:val="22"/>
          <w:szCs w:val="22"/>
        </w:rPr>
        <w:t>Tawadros</w:t>
      </w:r>
      <w:proofErr w:type="spellEnd"/>
      <w:r w:rsidRPr="0041390E">
        <w:rPr>
          <w:rFonts w:ascii="Arial" w:hAnsi="Arial" w:cs="Arial"/>
          <w:sz w:val="22"/>
          <w:szCs w:val="22"/>
        </w:rPr>
        <w:t>, BS</w:t>
      </w:r>
      <w:r w:rsidRPr="0041390E">
        <w:rPr>
          <w:rFonts w:ascii="Arial" w:hAnsi="Arial" w:cs="Arial"/>
          <w:sz w:val="22"/>
          <w:szCs w:val="22"/>
          <w:vertAlign w:val="superscript"/>
        </w:rPr>
        <w:t>1</w:t>
      </w:r>
      <w:r w:rsidRPr="0041390E">
        <w:rPr>
          <w:rFonts w:ascii="Arial" w:hAnsi="Arial" w:cs="Arial"/>
          <w:sz w:val="22"/>
          <w:szCs w:val="22"/>
        </w:rPr>
        <w:t>, Michael Morin, PhD</w:t>
      </w:r>
      <w:r w:rsidRPr="0041390E">
        <w:rPr>
          <w:rFonts w:ascii="Arial" w:hAnsi="Arial" w:cs="Arial"/>
          <w:sz w:val="22"/>
          <w:szCs w:val="22"/>
          <w:vertAlign w:val="superscript"/>
        </w:rPr>
        <w:t>1</w:t>
      </w:r>
      <w:r w:rsidRPr="0041390E">
        <w:rPr>
          <w:rFonts w:ascii="Arial" w:hAnsi="Arial" w:cs="Arial"/>
          <w:sz w:val="22"/>
          <w:szCs w:val="22"/>
        </w:rPr>
        <w:t>, Peter Gaines, PhD</w:t>
      </w:r>
      <w:r w:rsidRPr="0041390E">
        <w:rPr>
          <w:rFonts w:ascii="Arial" w:hAnsi="Arial" w:cs="Arial"/>
          <w:sz w:val="22"/>
          <w:szCs w:val="22"/>
          <w:vertAlign w:val="superscript"/>
        </w:rPr>
        <w:t>1</w:t>
      </w:r>
      <w:r w:rsidRPr="0041390E">
        <w:rPr>
          <w:rFonts w:ascii="Arial" w:hAnsi="Arial" w:cs="Arial"/>
          <w:sz w:val="22"/>
          <w:szCs w:val="22"/>
        </w:rPr>
        <w:t>, Abiche Dewilde, PhD</w:t>
      </w:r>
      <w:r w:rsidRPr="0041390E">
        <w:rPr>
          <w:rFonts w:ascii="Arial" w:hAnsi="Arial" w:cs="Arial"/>
          <w:sz w:val="22"/>
          <w:szCs w:val="22"/>
          <w:vertAlign w:val="superscript"/>
        </w:rPr>
        <w:t>2</w:t>
      </w:r>
    </w:p>
    <w:p w:rsidR="0041390E" w:rsidRPr="0041390E" w:rsidRDefault="0041390E" w:rsidP="0041390E">
      <w:pPr>
        <w:rPr>
          <w:rFonts w:ascii="Arial" w:hAnsi="Arial" w:cs="Arial"/>
          <w:sz w:val="22"/>
          <w:szCs w:val="22"/>
        </w:rPr>
      </w:pPr>
      <w:r w:rsidRPr="0041390E">
        <w:rPr>
          <w:rFonts w:ascii="Arial" w:hAnsi="Arial" w:cs="Arial"/>
          <w:sz w:val="22"/>
          <w:szCs w:val="22"/>
          <w:vertAlign w:val="superscript"/>
        </w:rPr>
        <w:t>1</w:t>
      </w:r>
      <w:r w:rsidRPr="0041390E">
        <w:rPr>
          <w:rFonts w:ascii="Arial" w:hAnsi="Arial" w:cs="Arial"/>
          <w:sz w:val="22"/>
          <w:szCs w:val="22"/>
        </w:rPr>
        <w:t xml:space="preserve">Department of Biological Sciences, University of Massachusetts Lowell; </w:t>
      </w:r>
      <w:r w:rsidRPr="0041390E">
        <w:rPr>
          <w:rFonts w:ascii="Arial" w:hAnsi="Arial" w:cs="Arial"/>
          <w:sz w:val="22"/>
          <w:szCs w:val="22"/>
          <w:vertAlign w:val="superscript"/>
        </w:rPr>
        <w:t>2</w:t>
      </w:r>
      <w:r w:rsidRPr="0041390E">
        <w:rPr>
          <w:rFonts w:ascii="Arial" w:hAnsi="Arial" w:cs="Arial"/>
          <w:sz w:val="22"/>
          <w:szCs w:val="22"/>
        </w:rPr>
        <w:t>InVitroMetrix Corporation, Lowell MA</w:t>
      </w:r>
    </w:p>
    <w:p w:rsidR="0041390E" w:rsidRPr="0041390E" w:rsidRDefault="0041390E" w:rsidP="0041390E">
      <w:pPr>
        <w:rPr>
          <w:rFonts w:ascii="Arial" w:hAnsi="Arial" w:cs="Arial"/>
          <w:b/>
          <w:bCs/>
          <w:sz w:val="22"/>
          <w:szCs w:val="22"/>
        </w:rPr>
      </w:pPr>
    </w:p>
    <w:p w:rsidR="00EB0CD3" w:rsidRPr="0041390E" w:rsidRDefault="00EB0CD3" w:rsidP="0041390E">
      <w:pPr>
        <w:jc w:val="both"/>
        <w:rPr>
          <w:rFonts w:ascii="Arial" w:hAnsi="Arial" w:cs="Arial"/>
          <w:sz w:val="22"/>
          <w:szCs w:val="22"/>
        </w:rPr>
      </w:pPr>
      <w:r w:rsidRPr="0041390E">
        <w:rPr>
          <w:rFonts w:ascii="Arial" w:hAnsi="Arial" w:cs="Arial"/>
          <w:sz w:val="22"/>
          <w:szCs w:val="22"/>
        </w:rPr>
        <w:t xml:space="preserve">Chemotherapy plays a major role in breast cancer treatment. However, not every chemotherapeutics is appropriate for each cancer due to the person’s individual cancer characteristics and whether the patient has developed </w:t>
      </w:r>
      <w:proofErr w:type="spellStart"/>
      <w:r w:rsidRPr="0041390E">
        <w:rPr>
          <w:rFonts w:ascii="Arial" w:hAnsi="Arial" w:cs="Arial"/>
          <w:sz w:val="22"/>
          <w:szCs w:val="22"/>
        </w:rPr>
        <w:t>chemoresistance</w:t>
      </w:r>
      <w:proofErr w:type="spellEnd"/>
      <w:r w:rsidRPr="0041390E">
        <w:rPr>
          <w:rFonts w:ascii="Arial" w:hAnsi="Arial" w:cs="Arial"/>
          <w:sz w:val="22"/>
          <w:szCs w:val="22"/>
        </w:rPr>
        <w:t xml:space="preserve"> to a particular drug. In this research, the </w:t>
      </w:r>
      <w:proofErr w:type="spellStart"/>
      <w:r w:rsidRPr="0041390E">
        <w:rPr>
          <w:rFonts w:ascii="Arial" w:hAnsi="Arial" w:cs="Arial"/>
          <w:sz w:val="22"/>
          <w:szCs w:val="22"/>
        </w:rPr>
        <w:t>InVitro</w:t>
      </w:r>
      <w:proofErr w:type="spellEnd"/>
      <w:r w:rsidRPr="0041390E">
        <w:rPr>
          <w:rFonts w:ascii="Arial" w:hAnsi="Arial" w:cs="Arial"/>
          <w:sz w:val="22"/>
          <w:szCs w:val="22"/>
        </w:rPr>
        <w:t xml:space="preserve">-Q is used to detect subtle differences in tumor cell proliferation post-treatment with four-breast cancer chemotherapeutics used: paclitaxel, docetaxel, </w:t>
      </w:r>
      <w:proofErr w:type="spellStart"/>
      <w:r w:rsidRPr="0041390E">
        <w:rPr>
          <w:rFonts w:ascii="Arial" w:hAnsi="Arial" w:cs="Arial"/>
          <w:sz w:val="22"/>
          <w:szCs w:val="22"/>
        </w:rPr>
        <w:t>nocodazole</w:t>
      </w:r>
      <w:proofErr w:type="spellEnd"/>
      <w:r w:rsidRPr="0041390E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41390E">
        <w:rPr>
          <w:rFonts w:ascii="Arial" w:hAnsi="Arial" w:cs="Arial"/>
          <w:sz w:val="22"/>
          <w:szCs w:val="22"/>
        </w:rPr>
        <w:t>cytochalasin</w:t>
      </w:r>
      <w:proofErr w:type="spellEnd"/>
      <w:r w:rsidRPr="0041390E">
        <w:rPr>
          <w:rFonts w:ascii="Arial" w:hAnsi="Arial" w:cs="Arial"/>
          <w:sz w:val="22"/>
          <w:szCs w:val="22"/>
        </w:rPr>
        <w:t xml:space="preserve"> B. </w:t>
      </w:r>
      <w:proofErr w:type="gramStart"/>
      <w:r w:rsidRPr="0041390E">
        <w:rPr>
          <w:rFonts w:ascii="Arial" w:hAnsi="Arial" w:cs="Arial"/>
          <w:sz w:val="22"/>
          <w:szCs w:val="22"/>
        </w:rPr>
        <w:t>Our multi-well cell-based sensor that can monitor real-time biological changes in living cells, such as mass redistribution, and viscoelasticity.</w:t>
      </w:r>
      <w:proofErr w:type="gramEnd"/>
      <w:r w:rsidRPr="0041390E">
        <w:rPr>
          <w:rFonts w:ascii="Arial" w:hAnsi="Arial" w:cs="Arial"/>
          <w:sz w:val="22"/>
          <w:szCs w:val="22"/>
        </w:rPr>
        <w:t xml:space="preserve"> This system provides unique kinetic information regarding the phenotypic change in the cells post treatment.</w:t>
      </w:r>
      <w:r w:rsidRPr="0041390E">
        <w:rPr>
          <w:rStyle w:val="gmail-apple-converted-space"/>
          <w:rFonts w:ascii="Arial" w:hAnsi="Arial" w:cs="Arial"/>
          <w:sz w:val="22"/>
          <w:szCs w:val="22"/>
        </w:rPr>
        <w:t> </w:t>
      </w:r>
      <w:r w:rsidRPr="0041390E">
        <w:rPr>
          <w:rFonts w:ascii="Arial" w:hAnsi="Arial" w:cs="Arial"/>
          <w:sz w:val="22"/>
          <w:szCs w:val="22"/>
        </w:rPr>
        <w:t>Each drug induces apoptosis by targeting a different mechanism of action. Each drug was assayed for 48h with MCF-7 or SK-Br-3 breast cancer cells, and data collected.  Post analysis we created quantitative projection regarding the efficacy of each drug on the specific cancer type.</w:t>
      </w:r>
    </w:p>
    <w:p w:rsidR="00EB0CD3" w:rsidRPr="0041390E" w:rsidRDefault="00EB0CD3" w:rsidP="0041390E">
      <w:pPr>
        <w:rPr>
          <w:rFonts w:ascii="Arial" w:hAnsi="Arial" w:cs="Arial"/>
          <w:sz w:val="22"/>
          <w:szCs w:val="22"/>
        </w:rPr>
      </w:pPr>
    </w:p>
    <w:p w:rsidR="00EB0CD3" w:rsidRPr="0041390E" w:rsidRDefault="00EB0CD3" w:rsidP="0041390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1390E">
        <w:rPr>
          <w:rFonts w:ascii="Arial" w:hAnsi="Arial" w:cs="Arial"/>
          <w:b/>
          <w:sz w:val="22"/>
          <w:szCs w:val="22"/>
          <w:u w:val="single"/>
        </w:rPr>
        <w:t>Contact:</w:t>
      </w:r>
    </w:p>
    <w:p w:rsidR="0041390E" w:rsidRPr="0041390E" w:rsidRDefault="0041390E" w:rsidP="004139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Abiche H. Dewilde, PhD</w:t>
      </w:r>
      <w:r w:rsidR="00EB0CD3" w:rsidRPr="0041390E">
        <w:rPr>
          <w:rFonts w:ascii="Arial" w:hAnsi="Arial" w:cs="Arial"/>
          <w:bCs/>
          <w:sz w:val="22"/>
          <w:szCs w:val="22"/>
        </w:rPr>
        <w:br/>
        <w:t>President</w:t>
      </w:r>
      <w:r w:rsidR="00EB0CD3" w:rsidRPr="0041390E">
        <w:rPr>
          <w:rFonts w:ascii="Arial" w:hAnsi="Arial" w:cs="Arial"/>
          <w:sz w:val="22"/>
          <w:szCs w:val="22"/>
        </w:rPr>
        <w:br/>
      </w:r>
      <w:proofErr w:type="spellStart"/>
      <w:r w:rsidR="00EB0CD3" w:rsidRPr="0041390E">
        <w:rPr>
          <w:rFonts w:ascii="Arial" w:hAnsi="Arial" w:cs="Arial"/>
          <w:sz w:val="22"/>
          <w:szCs w:val="22"/>
        </w:rPr>
        <w:t>Invitrometrix</w:t>
      </w:r>
      <w:proofErr w:type="spellEnd"/>
      <w:r w:rsidR="003E563D">
        <w:rPr>
          <w:rFonts w:ascii="Arial" w:hAnsi="Arial" w:cs="Arial"/>
          <w:sz w:val="22"/>
          <w:szCs w:val="22"/>
        </w:rPr>
        <w:t>, Lowell, MA</w:t>
      </w:r>
      <w:r w:rsidR="00EB0CD3" w:rsidRPr="0041390E">
        <w:rPr>
          <w:rFonts w:ascii="Arial" w:hAnsi="Arial" w:cs="Arial"/>
          <w:sz w:val="22"/>
          <w:szCs w:val="22"/>
        </w:rPr>
        <w:br/>
      </w:r>
      <w:hyperlink r:id="rId5" w:history="1">
        <w:r w:rsidRPr="0041390E">
          <w:rPr>
            <w:rStyle w:val="Hyperlink"/>
            <w:rFonts w:ascii="Arial" w:hAnsi="Arial" w:cs="Arial"/>
            <w:sz w:val="22"/>
            <w:szCs w:val="22"/>
          </w:rPr>
          <w:t>AbicheD@Invitrometrix.com</w:t>
        </w:r>
      </w:hyperlink>
    </w:p>
    <w:p w:rsidR="0041390E" w:rsidRPr="0041390E" w:rsidRDefault="001B534F" w:rsidP="004139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41390E" w:rsidRPr="0041390E">
          <w:rPr>
            <w:rStyle w:val="Hyperlink"/>
            <w:rFonts w:ascii="Arial" w:hAnsi="Arial" w:cs="Arial"/>
            <w:sz w:val="22"/>
            <w:szCs w:val="22"/>
          </w:rPr>
          <w:t>www.Invitrometrix.com</w:t>
        </w:r>
      </w:hyperlink>
    </w:p>
    <w:p w:rsidR="00EB0CD3" w:rsidRPr="0041390E" w:rsidRDefault="00EB0CD3" w:rsidP="004139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390E">
        <w:rPr>
          <w:rFonts w:ascii="Arial" w:hAnsi="Arial" w:cs="Arial"/>
          <w:sz w:val="22"/>
          <w:szCs w:val="22"/>
        </w:rPr>
        <w:br/>
      </w:r>
    </w:p>
    <w:p w:rsidR="00A359E4" w:rsidRPr="0041390E" w:rsidRDefault="00A359E4" w:rsidP="0041390E">
      <w:pPr>
        <w:rPr>
          <w:rFonts w:ascii="Arial" w:hAnsi="Arial" w:cs="Arial"/>
          <w:sz w:val="22"/>
          <w:szCs w:val="22"/>
        </w:rPr>
      </w:pPr>
    </w:p>
    <w:sectPr w:rsidR="00A359E4" w:rsidRPr="0041390E" w:rsidSect="0041390E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3"/>
    <w:rsid w:val="001B534F"/>
    <w:rsid w:val="003E563D"/>
    <w:rsid w:val="0041390E"/>
    <w:rsid w:val="00A359E4"/>
    <w:rsid w:val="00BD6FBC"/>
    <w:rsid w:val="00D10602"/>
    <w:rsid w:val="00DE3842"/>
    <w:rsid w:val="00E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0CD3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EB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0CD3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EB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itrometrix.com" TargetMode="External"/><Relationship Id="rId5" Type="http://schemas.openxmlformats.org/officeDocument/2006/relationships/hyperlink" Target="mailto:AbicheD@Invitrometr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depasquw</dc:creator>
  <cp:lastModifiedBy>depasquw</cp:lastModifiedBy>
  <cp:revision>4</cp:revision>
  <dcterms:created xsi:type="dcterms:W3CDTF">2017-04-03T15:17:00Z</dcterms:created>
  <dcterms:modified xsi:type="dcterms:W3CDTF">2017-04-04T14:52:00Z</dcterms:modified>
</cp:coreProperties>
</file>